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Times New Roman" w:hAnsi="Times New Roman" w:eastAsia="宋体" w:cs="Times New Roman"/>
          <w:sz w:val="44"/>
          <w:szCs w:val="44"/>
          <w:lang w:eastAsia="zh-CN"/>
        </w:rPr>
        <w:drawing>
          <wp:anchor distT="0" distB="0" distL="114300" distR="114300" simplePos="0" relativeHeight="251659264" behindDoc="1" locked="0" layoutInCell="1" allowOverlap="1">
            <wp:simplePos x="0" y="0"/>
            <wp:positionH relativeFrom="column">
              <wp:posOffset>-1010920</wp:posOffset>
            </wp:positionH>
            <wp:positionV relativeFrom="paragraph">
              <wp:posOffset>-1148080</wp:posOffset>
            </wp:positionV>
            <wp:extent cx="7767955" cy="10925810"/>
            <wp:effectExtent l="0" t="0" r="4445" b="8890"/>
            <wp:wrapNone/>
            <wp:docPr id="1" name="图片 107" descr="党建双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7" descr="党建双优"/>
                    <pic:cNvPicPr>
                      <a:picLocks noChangeAspect="1"/>
                    </pic:cNvPicPr>
                  </pic:nvPicPr>
                  <pic:blipFill>
                    <a:blip r:embed="rId11"/>
                    <a:stretch>
                      <a:fillRect/>
                    </a:stretch>
                  </pic:blipFill>
                  <pic:spPr>
                    <a:xfrm>
                      <a:off x="0" y="0"/>
                      <a:ext cx="7767955" cy="10925810"/>
                    </a:xfrm>
                    <a:prstGeom prst="rect">
                      <a:avLst/>
                    </a:prstGeom>
                    <a:noFill/>
                    <a:ln>
                      <a:noFill/>
                    </a:ln>
                  </pic:spPr>
                </pic:pic>
              </a:graphicData>
            </a:graphic>
          </wp:anchor>
        </w:drawing>
      </w:r>
    </w:p>
    <w:p>
      <w:pPr>
        <w:spacing w:line="240" w:lineRule="auto"/>
        <w:rPr>
          <w:rFonts w:hint="eastAsia" w:ascii="Times New Roman" w:hAnsi="Times New Roman" w:eastAsia="宋体" w:cs="Times New Roman"/>
          <w:sz w:val="44"/>
          <w:szCs w:val="44"/>
          <w:lang w:eastAsia="zh-CN"/>
        </w:rPr>
      </w:pPr>
    </w:p>
    <w:p>
      <w:pPr>
        <w:rPr>
          <w:rFonts w:hint="eastAsia" w:ascii="Times New Roman" w:hAnsi="Times New Roman" w:eastAsia="宋体" w:cs="Times New Roman"/>
          <w:sz w:val="44"/>
          <w:szCs w:val="44"/>
        </w:rPr>
      </w:pPr>
    </w:p>
    <w:p>
      <w:pPr>
        <w:rPr>
          <w:rFonts w:hint="eastAsia" w:ascii="Times New Roman" w:hAnsi="Times New Roman" w:eastAsia="宋体" w:cs="Times New Roman"/>
          <w:sz w:val="44"/>
          <w:szCs w:val="44"/>
        </w:rPr>
      </w:pPr>
      <w:r>
        <w:rPr>
          <w:sz w:val="48"/>
        </w:rPr>
        <mc:AlternateContent>
          <mc:Choice Requires="wps">
            <w:drawing>
              <wp:anchor distT="0" distB="0" distL="114300" distR="114300" simplePos="0" relativeHeight="251660288" behindDoc="0" locked="0" layoutInCell="1" allowOverlap="1">
                <wp:simplePos x="0" y="0"/>
                <wp:positionH relativeFrom="column">
                  <wp:posOffset>1212215</wp:posOffset>
                </wp:positionH>
                <wp:positionV relativeFrom="paragraph">
                  <wp:posOffset>396240</wp:posOffset>
                </wp:positionV>
                <wp:extent cx="1828800" cy="1828800"/>
                <wp:effectExtent l="0" t="0" r="0" b="0"/>
                <wp:wrapSquare wrapText="bothSides"/>
                <wp:docPr id="2"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noFill/>
                          <a:prstDash val="solid"/>
                          <a:miter/>
                          <a:headEnd type="none" w="med" len="med"/>
                          <a:tailEnd type="none" w="med" len="med"/>
                        </a:ln>
                      </wps:spPr>
                      <wps:txbx>
                        <w:txbxContent>
                          <w:p>
                            <w:pPr>
                              <w:spacing w:line="640" w:lineRule="exact"/>
                              <w:jc w:val="center"/>
                              <w:rPr>
                                <w:rFonts w:hint="eastAsia" w:ascii="方正小标宋_GBK" w:hAnsi="Times New Roman" w:eastAsia="方正小标宋_GBK" w:cs="Times New Roman"/>
                                <w:b/>
                                <w:sz w:val="48"/>
                                <w:szCs w:val="48"/>
                                <w:lang w:eastAsia="zh-CN"/>
                              </w:rPr>
                            </w:pPr>
                            <w:r>
                              <w:rPr>
                                <w:rFonts w:hint="eastAsia" w:ascii="方正小标宋_GBK" w:hAnsi="Times New Roman" w:eastAsia="方正小标宋_GBK" w:cs="Times New Roman"/>
                                <w:b/>
                                <w:sz w:val="48"/>
                                <w:szCs w:val="48"/>
                                <w:lang w:val="en-US" w:eastAsia="zh-CN"/>
                              </w:rPr>
                              <w:t>幼儿保育</w:t>
                            </w:r>
                            <w:r>
                              <w:rPr>
                                <w:rFonts w:hint="eastAsia" w:ascii="方正小标宋_GBK" w:hAnsi="Times New Roman" w:eastAsia="方正小标宋_GBK" w:cs="Times New Roman"/>
                                <w:b/>
                                <w:sz w:val="48"/>
                                <w:szCs w:val="48"/>
                              </w:rPr>
                              <w:t>专业</w:t>
                            </w:r>
                            <w:r>
                              <w:rPr>
                                <w:rFonts w:hint="eastAsia" w:ascii="方正小标宋_GBK" w:hAnsi="Times New Roman" w:eastAsia="方正小标宋_GBK" w:cs="Times New Roman"/>
                                <w:b/>
                                <w:sz w:val="48"/>
                                <w:szCs w:val="48"/>
                                <w:lang w:eastAsia="zh-CN"/>
                              </w:rPr>
                              <w:t>（</w:t>
                            </w:r>
                            <w:r>
                              <w:rPr>
                                <w:rFonts w:hint="eastAsia" w:ascii="方正小标宋_GBK" w:hAnsi="Times New Roman" w:eastAsia="方正小标宋_GBK" w:cs="Times New Roman"/>
                                <w:b/>
                                <w:sz w:val="48"/>
                                <w:szCs w:val="48"/>
                                <w:lang w:val="en-US" w:eastAsia="zh-CN"/>
                              </w:rPr>
                              <w:t>3+2</w:t>
                            </w:r>
                            <w:r>
                              <w:rPr>
                                <w:rFonts w:hint="eastAsia" w:ascii="方正小标宋_GBK" w:hAnsi="Times New Roman" w:eastAsia="方正小标宋_GBK" w:cs="Times New Roman"/>
                                <w:b/>
                                <w:sz w:val="48"/>
                                <w:szCs w:val="48"/>
                                <w:lang w:eastAsia="zh-CN"/>
                              </w:rPr>
                              <w:t>）</w:t>
                            </w:r>
                          </w:p>
                          <w:p>
                            <w:pPr>
                              <w:spacing w:line="640" w:lineRule="exact"/>
                              <w:jc w:val="center"/>
                              <w:rPr>
                                <w:rFonts w:hint="eastAsia" w:ascii="方正小标宋_GBK" w:hAnsi="Times New Roman" w:eastAsia="方正小标宋_GBK" w:cs="Times New Roman"/>
                                <w:b/>
                                <w:sz w:val="48"/>
                                <w:szCs w:val="48"/>
                              </w:rPr>
                            </w:pPr>
                            <w:r>
                              <w:rPr>
                                <w:rFonts w:hint="eastAsia" w:ascii="方正小标宋_GBK" w:hAnsi="Times New Roman" w:eastAsia="方正小标宋_GBK" w:cs="Times New Roman"/>
                                <w:b/>
                                <w:sz w:val="48"/>
                                <w:szCs w:val="48"/>
                              </w:rPr>
                              <w:t>人才培养方案</w:t>
                            </w:r>
                          </w:p>
                        </w:txbxContent>
                      </wps:txbx>
                      <wps:bodyPr vert="horz" wrap="none" anchor="t" anchorCtr="0" upright="1">
                        <a:spAutoFit/>
                      </wps:bodyPr>
                    </wps:wsp>
                  </a:graphicData>
                </a:graphic>
              </wp:anchor>
            </w:drawing>
          </mc:Choice>
          <mc:Fallback>
            <w:pict>
              <v:shape id="文本框 225" o:spid="_x0000_s1026" o:spt="202" type="#_x0000_t202" style="position:absolute;left:0pt;margin-left:95.45pt;margin-top:31.2pt;height:144pt;width:144pt;mso-wrap-distance-bottom:0pt;mso-wrap-distance-left:9pt;mso-wrap-distance-right:9pt;mso-wrap-distance-top:0pt;mso-wrap-style:none;z-index:251660288;mso-width-relative:page;mso-height-relative:page;" filled="f" stroked="f" coordsize="21600,21600" o:gfxdata="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atn1gAAAAoBAAAPAAAAAAAAAAEA&#10;IAAAACIAAABkcnMvZG93bnJldi54bWxQSwECFAAUAAAACACHTuJAZ05jfRECAAAyBAAADgAAAAAA&#10;AAABACAAAAAlAQAAZHJzL2Uyb0RvYy54bWxQSwUGAAAAAAYABgBZAQAAqAUAAAAA&#10;">
                <v:fill on="f" focussize="0,0"/>
                <v:stroke on="f" joinstyle="miter"/>
                <v:imagedata o:title=""/>
                <o:lock v:ext="edit" aspectratio="f"/>
                <v:textbox style="mso-fit-shape-to-text:t;">
                  <w:txbxContent>
                    <w:p>
                      <w:pPr>
                        <w:spacing w:line="640" w:lineRule="exact"/>
                        <w:jc w:val="center"/>
                        <w:rPr>
                          <w:rFonts w:hint="eastAsia" w:ascii="方正小标宋_GBK" w:hAnsi="Times New Roman" w:eastAsia="方正小标宋_GBK" w:cs="Times New Roman"/>
                          <w:b/>
                          <w:sz w:val="48"/>
                          <w:szCs w:val="48"/>
                          <w:lang w:eastAsia="zh-CN"/>
                        </w:rPr>
                      </w:pPr>
                      <w:r>
                        <w:rPr>
                          <w:rFonts w:hint="eastAsia" w:ascii="方正小标宋_GBK" w:hAnsi="Times New Roman" w:eastAsia="方正小标宋_GBK" w:cs="Times New Roman"/>
                          <w:b/>
                          <w:sz w:val="48"/>
                          <w:szCs w:val="48"/>
                          <w:lang w:val="en-US" w:eastAsia="zh-CN"/>
                        </w:rPr>
                        <w:t>幼儿保育</w:t>
                      </w:r>
                      <w:r>
                        <w:rPr>
                          <w:rFonts w:hint="eastAsia" w:ascii="方正小标宋_GBK" w:hAnsi="Times New Roman" w:eastAsia="方正小标宋_GBK" w:cs="Times New Roman"/>
                          <w:b/>
                          <w:sz w:val="48"/>
                          <w:szCs w:val="48"/>
                        </w:rPr>
                        <w:t>专业</w:t>
                      </w:r>
                      <w:r>
                        <w:rPr>
                          <w:rFonts w:hint="eastAsia" w:ascii="方正小标宋_GBK" w:hAnsi="Times New Roman" w:eastAsia="方正小标宋_GBK" w:cs="Times New Roman"/>
                          <w:b/>
                          <w:sz w:val="48"/>
                          <w:szCs w:val="48"/>
                          <w:lang w:eastAsia="zh-CN"/>
                        </w:rPr>
                        <w:t>（</w:t>
                      </w:r>
                      <w:r>
                        <w:rPr>
                          <w:rFonts w:hint="eastAsia" w:ascii="方正小标宋_GBK" w:hAnsi="Times New Roman" w:eastAsia="方正小标宋_GBK" w:cs="Times New Roman"/>
                          <w:b/>
                          <w:sz w:val="48"/>
                          <w:szCs w:val="48"/>
                          <w:lang w:val="en-US" w:eastAsia="zh-CN"/>
                        </w:rPr>
                        <w:t>3+2</w:t>
                      </w:r>
                      <w:r>
                        <w:rPr>
                          <w:rFonts w:hint="eastAsia" w:ascii="方正小标宋_GBK" w:hAnsi="Times New Roman" w:eastAsia="方正小标宋_GBK" w:cs="Times New Roman"/>
                          <w:b/>
                          <w:sz w:val="48"/>
                          <w:szCs w:val="48"/>
                          <w:lang w:eastAsia="zh-CN"/>
                        </w:rPr>
                        <w:t>）</w:t>
                      </w:r>
                    </w:p>
                    <w:p>
                      <w:pPr>
                        <w:spacing w:line="640" w:lineRule="exact"/>
                        <w:jc w:val="center"/>
                        <w:rPr>
                          <w:rFonts w:hint="eastAsia" w:ascii="方正小标宋_GBK" w:hAnsi="Times New Roman" w:eastAsia="方正小标宋_GBK" w:cs="Times New Roman"/>
                          <w:b/>
                          <w:sz w:val="48"/>
                          <w:szCs w:val="48"/>
                        </w:rPr>
                      </w:pPr>
                      <w:r>
                        <w:rPr>
                          <w:rFonts w:hint="eastAsia" w:ascii="方正小标宋_GBK" w:hAnsi="Times New Roman" w:eastAsia="方正小标宋_GBK" w:cs="Times New Roman"/>
                          <w:b/>
                          <w:sz w:val="48"/>
                          <w:szCs w:val="48"/>
                        </w:rPr>
                        <w:t>人才培养方案</w:t>
                      </w:r>
                    </w:p>
                  </w:txbxContent>
                </v:textbox>
                <w10:wrap type="square"/>
              </v:shape>
            </w:pict>
          </mc:Fallback>
        </mc:AlternateContent>
      </w:r>
    </w:p>
    <w:p>
      <w:pPr>
        <w:spacing w:line="640" w:lineRule="exact"/>
        <w:jc w:val="center"/>
        <w:rPr>
          <w:rFonts w:hint="eastAsia" w:ascii="方正小标宋_GBK" w:hAnsi="Times New Roman" w:eastAsia="方正小标宋_GBK" w:cs="Times New Roman"/>
          <w:b/>
          <w:sz w:val="48"/>
          <w:szCs w:val="48"/>
        </w:rPr>
      </w:pPr>
    </w:p>
    <w:p>
      <w:pPr>
        <w:spacing w:line="640" w:lineRule="exact"/>
        <w:jc w:val="center"/>
        <w:rPr>
          <w:rFonts w:hint="eastAsia" w:ascii="方正小标宋_GBK" w:hAnsi="Times New Roman" w:eastAsia="方正小标宋_GBK" w:cs="Times New Roman"/>
          <w:b/>
          <w:sz w:val="48"/>
          <w:szCs w:val="48"/>
        </w:rPr>
      </w:pPr>
    </w:p>
    <w:p>
      <w:pPr>
        <w:spacing w:line="640" w:lineRule="exact"/>
        <w:jc w:val="center"/>
        <w:rPr>
          <w:rFonts w:hint="eastAsia" w:ascii="方正小标宋_GBK" w:hAnsi="Times New Roman" w:eastAsia="方正小标宋_GBK" w:cs="Times New Roman"/>
          <w:b/>
          <w:sz w:val="48"/>
          <w:szCs w:val="4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rPr>
          <w:rFonts w:hint="eastAsia" w:ascii="方正小标宋_GBK" w:hAnsi="Times New Roman" w:eastAsia="方正小标宋_GBK" w:cs="Times New Roman"/>
          <w:sz w:val="38"/>
          <w:szCs w:val="38"/>
        </w:rPr>
      </w:pPr>
    </w:p>
    <w:p>
      <w:pPr>
        <w:rPr>
          <w:rFonts w:hint="eastAsia" w:ascii="方正小标宋_GBK" w:hAnsi="Times New Roman" w:eastAsia="方正小标宋_GBK" w:cs="Times New Roman"/>
          <w:sz w:val="38"/>
          <w:szCs w:val="38"/>
        </w:rPr>
      </w:pPr>
    </w:p>
    <w:p>
      <w:pPr>
        <w:jc w:val="center"/>
        <w:rPr>
          <w:rFonts w:hint="eastAsia" w:ascii="方正小标宋_GBK" w:hAnsi="Times New Roman" w:eastAsia="方正小标宋_GBK" w:cs="Times New Roman"/>
          <w:sz w:val="38"/>
          <w:szCs w:val="38"/>
          <w:lang w:val="en-US" w:eastAsia="zh-CN"/>
        </w:rPr>
      </w:pPr>
    </w:p>
    <w:p>
      <w:pPr>
        <w:jc w:val="center"/>
        <w:rPr>
          <w:rFonts w:ascii="Times New Roman" w:hAnsi="Times New Roman" w:eastAsia="宋体" w:cs="Times New Roman"/>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1650365</wp:posOffset>
                </wp:positionH>
                <wp:positionV relativeFrom="paragraph">
                  <wp:posOffset>101600</wp:posOffset>
                </wp:positionV>
                <wp:extent cx="1828800" cy="1828800"/>
                <wp:effectExtent l="0" t="0" r="0" b="0"/>
                <wp:wrapSquare wrapText="bothSides"/>
                <wp:docPr id="3"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ascii="方正小标宋_GBK" w:hAnsi="Times New Roman" w:eastAsia="方正小标宋_GBK" w:cs="Times New Roman"/>
                                <w:sz w:val="38"/>
                                <w:szCs w:val="38"/>
                                <w:lang w:val="en-US" w:eastAsia="zh-CN"/>
                              </w:rPr>
                            </w:pPr>
                            <w:r>
                              <w:rPr>
                                <w:rFonts w:hint="eastAsia" w:ascii="方正小标宋_GBK" w:hAnsi="Times New Roman" w:eastAsia="方正小标宋_GBK" w:cs="Times New Roman"/>
                                <w:sz w:val="38"/>
                                <w:szCs w:val="38"/>
                                <w:lang w:val="en-US" w:eastAsia="zh-CN"/>
                              </w:rPr>
                              <w:t>现代服务部</w:t>
                            </w:r>
                          </w:p>
                          <w:p>
                            <w:pPr>
                              <w:jc w:val="center"/>
                              <w:rPr>
                                <w:rFonts w:hint="eastAsia"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lang w:val="en-US" w:eastAsia="zh-CN"/>
                              </w:rPr>
                              <w:t xml:space="preserve">二〇二二 </w:t>
                            </w:r>
                            <w:r>
                              <w:rPr>
                                <w:rFonts w:hint="eastAsia" w:ascii="方正小标宋_GBK" w:hAnsi="Times New Roman" w:eastAsia="方正小标宋_GBK" w:cs="Times New Roman"/>
                                <w:sz w:val="38"/>
                                <w:szCs w:val="38"/>
                              </w:rPr>
                              <w:t>年</w:t>
                            </w:r>
                            <w:r>
                              <w:rPr>
                                <w:rFonts w:hint="eastAsia" w:ascii="方正小标宋_GBK" w:hAnsi="Times New Roman" w:eastAsia="方正小标宋_GBK" w:cs="Times New Roman"/>
                                <w:sz w:val="38"/>
                                <w:szCs w:val="38"/>
                                <w:lang w:val="en-US" w:eastAsia="zh-CN"/>
                              </w:rPr>
                              <w:t xml:space="preserve"> 七 </w:t>
                            </w:r>
                            <w:r>
                              <w:rPr>
                                <w:rFonts w:hint="eastAsia" w:ascii="方正小标宋_GBK" w:hAnsi="Times New Roman" w:eastAsia="方正小标宋_GBK" w:cs="Times New Roman"/>
                                <w:sz w:val="38"/>
                                <w:szCs w:val="38"/>
                              </w:rPr>
                              <w:t>月</w:t>
                            </w:r>
                          </w:p>
                        </w:txbxContent>
                      </wps:txbx>
                      <wps:bodyPr vert="horz" wrap="none" anchor="t" anchorCtr="0" upright="1">
                        <a:spAutoFit/>
                      </wps:bodyPr>
                    </wps:wsp>
                  </a:graphicData>
                </a:graphic>
              </wp:anchor>
            </w:drawing>
          </mc:Choice>
          <mc:Fallback>
            <w:pict>
              <v:shape id="文本框 226" o:spid="_x0000_s1026" o:spt="202" type="#_x0000_t202" style="position:absolute;left:0pt;margin-left:129.95pt;margin-top:8pt;height:144pt;width:144pt;mso-wrap-distance-bottom:0pt;mso-wrap-distance-left:9pt;mso-wrap-distance-right:9pt;mso-wrap-distance-top:0pt;mso-wrap-style:none;z-index:251661312;mso-width-relative:page;mso-height-relative:page;" fillcolor="#FFFFFF" filled="t" stroked="f" coordsize="21600,21600" o:gfxdata="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m+M2AAAAAoBAAAPAAAAAAAAAAEAIAAAACIAAABkcnMvZG93bnJldi54bWxQSwECFAAUAAAA&#10;CACHTuJALq1NFScCAABbBAAADgAAAAAAAAABACAAAAAnAQAAZHJzL2Uyb0RvYy54bWxQSwUGAAAA&#10;AAYABgBZAQAAwAUAAAAA&#10;">
                <v:fill on="t" focussize="0,0"/>
                <v:stroke on="f" joinstyle="miter"/>
                <v:imagedata o:title=""/>
                <o:lock v:ext="edit" aspectratio="f"/>
                <v:textbox style="mso-fit-shape-to-text:t;">
                  <w:txbxContent>
                    <w:p>
                      <w:pPr>
                        <w:jc w:val="center"/>
                        <w:rPr>
                          <w:rFonts w:hint="eastAsia" w:ascii="方正小标宋_GBK" w:hAnsi="Times New Roman" w:eastAsia="方正小标宋_GBK" w:cs="Times New Roman"/>
                          <w:sz w:val="38"/>
                          <w:szCs w:val="38"/>
                          <w:lang w:val="en-US" w:eastAsia="zh-CN"/>
                        </w:rPr>
                      </w:pPr>
                      <w:r>
                        <w:rPr>
                          <w:rFonts w:hint="eastAsia" w:ascii="方正小标宋_GBK" w:hAnsi="Times New Roman" w:eastAsia="方正小标宋_GBK" w:cs="Times New Roman"/>
                          <w:sz w:val="38"/>
                          <w:szCs w:val="38"/>
                          <w:lang w:val="en-US" w:eastAsia="zh-CN"/>
                        </w:rPr>
                        <w:t>现代服务部</w:t>
                      </w:r>
                    </w:p>
                    <w:p>
                      <w:pPr>
                        <w:jc w:val="center"/>
                        <w:rPr>
                          <w:rFonts w:hint="eastAsia"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lang w:val="en-US" w:eastAsia="zh-CN"/>
                        </w:rPr>
                        <w:t xml:space="preserve">二〇二二 </w:t>
                      </w:r>
                      <w:r>
                        <w:rPr>
                          <w:rFonts w:hint="eastAsia" w:ascii="方正小标宋_GBK" w:hAnsi="Times New Roman" w:eastAsia="方正小标宋_GBK" w:cs="Times New Roman"/>
                          <w:sz w:val="38"/>
                          <w:szCs w:val="38"/>
                        </w:rPr>
                        <w:t>年</w:t>
                      </w:r>
                      <w:r>
                        <w:rPr>
                          <w:rFonts w:hint="eastAsia" w:ascii="方正小标宋_GBK" w:hAnsi="Times New Roman" w:eastAsia="方正小标宋_GBK" w:cs="Times New Roman"/>
                          <w:sz w:val="38"/>
                          <w:szCs w:val="38"/>
                          <w:lang w:val="en-US" w:eastAsia="zh-CN"/>
                        </w:rPr>
                        <w:t xml:space="preserve"> 七 </w:t>
                      </w:r>
                      <w:r>
                        <w:rPr>
                          <w:rFonts w:hint="eastAsia" w:ascii="方正小标宋_GBK" w:hAnsi="Times New Roman" w:eastAsia="方正小标宋_GBK" w:cs="Times New Roman"/>
                          <w:sz w:val="38"/>
                          <w:szCs w:val="38"/>
                        </w:rPr>
                        <w:t>月</w:t>
                      </w:r>
                    </w:p>
                  </w:txbxContent>
                </v:textbox>
                <w10:wrap type="square"/>
              </v:shape>
            </w:pict>
          </mc:Fallback>
        </mc:AlternateContent>
      </w:r>
    </w:p>
    <w:p>
      <w:pPr>
        <w:widowControl/>
        <w:snapToGrid w:val="0"/>
        <w:spacing w:line="680" w:lineRule="exact"/>
        <w:ind w:firstLine="561"/>
        <w:jc w:val="center"/>
        <w:rPr>
          <w:rFonts w:hint="eastAsia" w:ascii="方正小标宋_GBK" w:hAnsi="方正小标宋_GBK" w:eastAsia="方正小标宋_GBK" w:cs="方正小标宋_GBK"/>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方正仿宋_GBK" w:hAnsi="方正仿宋_GBK" w:eastAsia="方正仿宋_GBK" w:cs="方正仿宋_GBK"/>
          <w:b/>
          <w:bCs/>
          <w:sz w:val="48"/>
          <w:szCs w:val="44"/>
        </w:rPr>
      </w:pPr>
      <w:r>
        <w:rPr>
          <w:rFonts w:hint="eastAsia" w:ascii="方正仿宋_GBK" w:hAnsi="方正仿宋_GBK" w:eastAsia="方正仿宋_GBK" w:cs="方正仿宋_GBK"/>
          <w:b/>
          <w:bCs/>
          <w:sz w:val="48"/>
          <w:szCs w:val="44"/>
        </w:rPr>
        <w:t>目  录</w:t>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fldChar w:fldCharType="begin"/>
      </w:r>
      <w:r>
        <w:rPr>
          <w:rFonts w:hint="eastAsia" w:ascii="方正仿宋_GBK" w:hAnsi="方正仿宋_GBK" w:eastAsia="方正仿宋_GBK" w:cs="方正仿宋_GBK"/>
          <w:b/>
          <w:sz w:val="28"/>
          <w:szCs w:val="28"/>
        </w:rPr>
        <w:instrText xml:space="preserve">TOC \o "1-2" \h \u </w:instrText>
      </w:r>
      <w:r>
        <w:rPr>
          <w:rFonts w:hint="eastAsia" w:ascii="方正仿宋_GBK" w:hAnsi="方正仿宋_GBK" w:eastAsia="方正仿宋_GBK" w:cs="方正仿宋_GBK"/>
          <w:b/>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_Toc15872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一、专业名称及代码</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_Toc15872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_Toc4525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二、入学要求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_Toc4525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_Toc631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三、修业年限</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_Toc631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_Toc26839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四、职业面向</w:t>
      </w:r>
      <w:r>
        <w:rPr>
          <w:rFonts w:hint="eastAsia" w:ascii="方正仿宋_GBK" w:hAnsi="方正仿宋_GBK" w:eastAsia="方正仿宋_GBK" w:cs="方正仿宋_GBK"/>
          <w:sz w:val="28"/>
          <w:szCs w:val="28"/>
        </w:rPr>
        <w:tab/>
      </w:r>
      <w:bookmarkStart w:id="0" w:name="_Hlt41893125"/>
      <w:bookmarkStart w:id="1" w:name="_Hlt41893124"/>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_Toc26839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bookmarkEnd w:id="0"/>
      <w:bookmarkEnd w:id="1"/>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_Toc22259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五、培养目标与培养规格</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_Toc22259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_Toc1692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(一)培养目标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_Toc1692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_Toc12442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(二)培养规格</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_Toc12442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_Toc21220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六、课程设置及要求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_Toc21220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_Toc27047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(一)课程结构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_Toc27047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_Toc20778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lang w:val="zh-CN"/>
        </w:rPr>
        <w:t xml:space="preserve"> (二)课程设置及要求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_Toc20778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_Toc26924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rPr>
        <w:t>七、教学进程总体安排</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_Toc26924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_Toc32689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(一)学时安排</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_Toc32689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_Toc501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(二) 教学安排</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_Toc501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_Toc17760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(一)师资队伍</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_Toc17760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_Toc2411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(二)教学设施</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_Toc2411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_Toc2964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(三)教学资源</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_Toc2964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_Toc28329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(四)教学方法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_Toc28329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_Toc19305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(五)学习评价</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_Toc19305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_Toc6946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(六)质量管理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_Toc6946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_Toc21053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九、毕业要求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_Toc21053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8"/>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_Toc29062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其它</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_Toc29062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_Toc24459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(一)编制依据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_Toc24459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_Toc9421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(二)编制人员</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_Toc9421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902"/>
        </w:tabs>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_Toc3654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(三)修订说明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_Toc3654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widowControl/>
        <w:snapToGrid w:val="0"/>
        <w:spacing w:line="520" w:lineRule="exact"/>
        <w:ind w:firstLine="561"/>
        <w:jc w:val="center"/>
        <w:rPr>
          <w:rFonts w:hint="eastAsia" w:ascii="方正小标宋_GBK" w:hAnsi="方正小标宋_GBK" w:eastAsia="方正小标宋_GBK" w:cs="方正小标宋_GBK"/>
          <w:b/>
          <w:sz w:val="44"/>
          <w:szCs w:val="44"/>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仿宋_GBK" w:hAnsi="方正仿宋_GBK" w:eastAsia="方正仿宋_GBK" w:cs="方正仿宋_GBK"/>
          <w:sz w:val="28"/>
          <w:szCs w:val="28"/>
        </w:rPr>
        <w:fldChar w:fldCharType="end"/>
      </w:r>
    </w:p>
    <w:p>
      <w:pPr>
        <w:widowControl/>
        <w:snapToGrid w:val="0"/>
        <w:spacing w:line="680" w:lineRule="exact"/>
        <w:ind w:firstLine="561"/>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重庆市黔江区民族职业教育中心</w:t>
      </w:r>
    </w:p>
    <w:p>
      <w:pPr>
        <w:widowControl/>
        <w:snapToGrid w:val="0"/>
        <w:spacing w:line="680" w:lineRule="exact"/>
        <w:ind w:firstLine="561"/>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幼儿保育</w:t>
      </w:r>
      <w:r>
        <w:rPr>
          <w:rFonts w:hint="eastAsia" w:ascii="方正小标宋_GBK" w:hAnsi="方正小标宋_GBK" w:eastAsia="方正小标宋_GBK" w:cs="方正小标宋_GBK"/>
          <w:b/>
          <w:sz w:val="44"/>
          <w:szCs w:val="44"/>
        </w:rPr>
        <w:t>专业</w:t>
      </w:r>
      <w:r>
        <w:rPr>
          <w:rFonts w:hint="eastAsia" w:ascii="方正小标宋_GBK" w:hAnsi="方正小标宋_GBK" w:eastAsia="方正小标宋_GBK" w:cs="方正小标宋_GBK"/>
          <w:b/>
          <w:sz w:val="44"/>
          <w:szCs w:val="44"/>
          <w:lang w:eastAsia="zh-CN"/>
        </w:rPr>
        <w:t>（</w:t>
      </w:r>
      <w:r>
        <w:rPr>
          <w:rFonts w:hint="eastAsia" w:ascii="方正小标宋_GBK" w:hAnsi="方正小标宋_GBK" w:eastAsia="方正小标宋_GBK" w:cs="方正小标宋_GBK"/>
          <w:b/>
          <w:sz w:val="44"/>
          <w:szCs w:val="44"/>
          <w:lang w:val="en-US" w:eastAsia="zh-CN"/>
        </w:rPr>
        <w:t>3+2</w:t>
      </w:r>
      <w:r>
        <w:rPr>
          <w:rFonts w:hint="eastAsia" w:ascii="方正小标宋_GBK" w:hAnsi="方正小标宋_GBK" w:eastAsia="方正小标宋_GBK" w:cs="方正小标宋_GBK"/>
          <w:b/>
          <w:sz w:val="44"/>
          <w:szCs w:val="44"/>
          <w:lang w:eastAsia="zh-CN"/>
        </w:rPr>
        <w:t>）</w:t>
      </w:r>
      <w:r>
        <w:rPr>
          <w:rFonts w:hint="eastAsia" w:ascii="方正小标宋_GBK" w:hAnsi="方正小标宋_GBK" w:eastAsia="方正小标宋_GBK" w:cs="方正小标宋_GBK"/>
          <w:b/>
          <w:sz w:val="44"/>
          <w:szCs w:val="44"/>
        </w:rPr>
        <w:t>人才培养方案</w:t>
      </w:r>
    </w:p>
    <w:p>
      <w:pPr>
        <w:spacing w:line="460" w:lineRule="exact"/>
        <w:jc w:val="center"/>
        <w:rPr>
          <w:rFonts w:ascii="方正仿宋_GBK" w:eastAsia="方正仿宋_GBK"/>
          <w:b/>
          <w:sz w:val="24"/>
          <w:szCs w:val="24"/>
        </w:rPr>
      </w:pPr>
      <w:r>
        <w:rPr>
          <w:rFonts w:hint="eastAsia" w:ascii="方正仿宋_GBK" w:eastAsia="方正仿宋_GBK"/>
          <w:b/>
          <w:sz w:val="24"/>
          <w:szCs w:val="24"/>
        </w:rPr>
        <w:t>(适用年级：202</w:t>
      </w:r>
      <w:r>
        <w:rPr>
          <w:rFonts w:hint="eastAsia" w:ascii="方正仿宋_GBK" w:eastAsia="方正仿宋_GBK"/>
          <w:b/>
          <w:sz w:val="24"/>
          <w:szCs w:val="24"/>
          <w:lang w:val="en-US" w:eastAsia="zh-CN"/>
        </w:rPr>
        <w:t>2</w:t>
      </w:r>
      <w:r>
        <w:rPr>
          <w:rFonts w:hint="eastAsia" w:ascii="方正仿宋_GBK" w:eastAsia="方正仿宋_GBK"/>
          <w:b/>
          <w:sz w:val="24"/>
          <w:szCs w:val="24"/>
        </w:rPr>
        <w:t>级      修订时间：202</w:t>
      </w:r>
      <w:r>
        <w:rPr>
          <w:rFonts w:hint="eastAsia" w:ascii="方正仿宋_GBK" w:eastAsia="方正仿宋_GBK"/>
          <w:b/>
          <w:sz w:val="24"/>
          <w:szCs w:val="24"/>
          <w:lang w:val="en-US" w:eastAsia="zh-CN"/>
        </w:rPr>
        <w:t>2</w:t>
      </w:r>
      <w:r>
        <w:rPr>
          <w:rFonts w:hint="eastAsia" w:ascii="方正仿宋_GBK" w:eastAsia="方正仿宋_GBK"/>
          <w:b/>
          <w:sz w:val="24"/>
          <w:szCs w:val="24"/>
        </w:rPr>
        <w:t>年</w:t>
      </w:r>
      <w:r>
        <w:rPr>
          <w:rFonts w:hint="eastAsia" w:ascii="方正仿宋_GBK" w:eastAsia="方正仿宋_GBK"/>
          <w:b/>
          <w:sz w:val="24"/>
          <w:szCs w:val="24"/>
          <w:lang w:val="en-US" w:eastAsia="zh-CN"/>
        </w:rPr>
        <w:t>7</w:t>
      </w:r>
      <w:r>
        <w:rPr>
          <w:rFonts w:hint="eastAsia" w:ascii="方正仿宋_GBK" w:eastAsia="方正仿宋_GBK"/>
          <w:b/>
          <w:sz w:val="24"/>
          <w:szCs w:val="24"/>
        </w:rPr>
        <w:t>月)</w:t>
      </w:r>
    </w:p>
    <w:p>
      <w:pPr>
        <w:spacing w:line="520" w:lineRule="exact"/>
        <w:rPr>
          <w:rFonts w:hint="eastAsia"/>
        </w:rPr>
      </w:pPr>
    </w:p>
    <w:p>
      <w:pPr>
        <w:pStyle w:val="2"/>
        <w:spacing w:before="0" w:beforeAutospacing="0" w:after="0" w:afterAutospacing="0" w:line="520" w:lineRule="exact"/>
        <w:ind w:firstLine="640" w:firstLineChars="200"/>
        <w:rPr>
          <w:rFonts w:ascii="方正黑体_GBK" w:eastAsia="方正黑体_GBK"/>
          <w:sz w:val="32"/>
          <w:szCs w:val="32"/>
        </w:rPr>
      </w:pPr>
      <w:bookmarkStart w:id="2" w:name="_Toc15872"/>
      <w:r>
        <w:rPr>
          <w:rFonts w:ascii="方正黑体_GBK" w:eastAsia="方正黑体_GBK"/>
          <w:sz w:val="32"/>
          <w:szCs w:val="32"/>
        </w:rPr>
        <w:t>一、专业名称及代码</w:t>
      </w:r>
      <w:bookmarkEnd w:id="2"/>
    </w:p>
    <w:p>
      <w:pPr>
        <w:widowControl/>
        <w:spacing w:line="520" w:lineRule="exact"/>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rPr>
        <w:t>幼儿保育</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专业代码：770101</w:t>
      </w:r>
      <w:r>
        <w:rPr>
          <w:rFonts w:hint="eastAsia" w:ascii="方正仿宋_GBK" w:hAnsi="方正仿宋_GBK" w:eastAsia="方正仿宋_GBK" w:cs="方正仿宋_GBK"/>
          <w:kern w:val="0"/>
          <w:sz w:val="32"/>
          <w:szCs w:val="32"/>
          <w:lang w:eastAsia="zh-CN"/>
        </w:rPr>
        <w:t>）</w:t>
      </w:r>
    </w:p>
    <w:p>
      <w:pPr>
        <w:pStyle w:val="2"/>
        <w:spacing w:before="0" w:beforeAutospacing="0" w:after="0" w:afterAutospacing="0" w:line="520" w:lineRule="exact"/>
        <w:ind w:firstLine="640" w:firstLineChars="200"/>
        <w:rPr>
          <w:rFonts w:ascii="方正黑体_GBK" w:eastAsia="方正黑体_GBK"/>
          <w:sz w:val="32"/>
          <w:szCs w:val="32"/>
        </w:rPr>
      </w:pPr>
      <w:bookmarkStart w:id="3" w:name="_Toc4525"/>
      <w:r>
        <w:rPr>
          <w:rFonts w:ascii="方正黑体_GBK" w:eastAsia="方正黑体_GBK"/>
          <w:sz w:val="32"/>
          <w:szCs w:val="32"/>
        </w:rPr>
        <w:t>二、入学要求</w:t>
      </w:r>
      <w:bookmarkEnd w:id="3"/>
    </w:p>
    <w:p>
      <w:pPr>
        <w:overflowPunct w:val="0"/>
        <w:adjustRightIn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初中毕业生或具有同等学力者</w:t>
      </w:r>
    </w:p>
    <w:p>
      <w:pPr>
        <w:pStyle w:val="2"/>
        <w:spacing w:before="0" w:beforeAutospacing="0" w:after="0" w:afterAutospacing="0" w:line="520" w:lineRule="exact"/>
        <w:ind w:firstLine="640" w:firstLineChars="200"/>
        <w:rPr>
          <w:rFonts w:ascii="方正黑体_GBK" w:eastAsia="方正黑体_GBK"/>
          <w:sz w:val="32"/>
          <w:szCs w:val="32"/>
        </w:rPr>
      </w:pPr>
      <w:bookmarkStart w:id="4" w:name="_Toc631"/>
      <w:r>
        <w:rPr>
          <w:rFonts w:ascii="方正黑体_GBK" w:eastAsia="方正黑体_GBK"/>
          <w:sz w:val="32"/>
          <w:szCs w:val="32"/>
        </w:rPr>
        <w:t>三、修业年限</w:t>
      </w:r>
      <w:bookmarkEnd w:id="4"/>
    </w:p>
    <w:p>
      <w:pPr>
        <w:overflowPunct w:val="0"/>
        <w:adjustRightIn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3年</w:t>
      </w:r>
    </w:p>
    <w:p>
      <w:pPr>
        <w:pStyle w:val="2"/>
        <w:spacing w:before="0" w:beforeAutospacing="0" w:after="0" w:afterAutospacing="0" w:line="520" w:lineRule="exact"/>
        <w:ind w:firstLine="640" w:firstLineChars="200"/>
        <w:rPr>
          <w:rFonts w:ascii="方正黑体_GBK" w:eastAsia="方正黑体_GBK"/>
          <w:sz w:val="32"/>
          <w:szCs w:val="32"/>
        </w:rPr>
      </w:pPr>
      <w:bookmarkStart w:id="5" w:name="_Toc26839"/>
      <w:r>
        <w:rPr>
          <w:rFonts w:ascii="方正黑体_GBK" w:eastAsia="方正黑体_GBK"/>
          <w:sz w:val="32"/>
          <w:szCs w:val="32"/>
        </w:rPr>
        <w:t>四、职业面向</w:t>
      </w:r>
      <w:bookmarkEnd w:id="5"/>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13"/>
        <w:gridCol w:w="1492"/>
        <w:gridCol w:w="2745"/>
        <w:gridCol w:w="1522"/>
        <w:gridCol w:w="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napToGrid w:val="0"/>
              <w:spacing w:line="0" w:lineRule="atLeast"/>
              <w:jc w:val="center"/>
              <w:rPr>
                <w:rFonts w:hint="eastAsia" w:ascii="仿宋" w:hAnsi="仿宋" w:eastAsia="仿宋"/>
                <w:b/>
                <w:w w:val="90"/>
                <w:szCs w:val="21"/>
              </w:rPr>
            </w:pPr>
            <w:r>
              <w:rPr>
                <w:rFonts w:ascii="仿宋" w:hAnsi="仿宋" w:eastAsia="仿宋"/>
                <w:b/>
                <w:w w:val="90"/>
                <w:szCs w:val="21"/>
              </w:rPr>
              <w:t>所属专业大类(代码)</w:t>
            </w:r>
          </w:p>
        </w:tc>
        <w:tc>
          <w:tcPr>
            <w:tcW w:w="1320" w:type="dxa"/>
            <w:noWrap w:val="0"/>
            <w:vAlign w:val="center"/>
          </w:tcPr>
          <w:p>
            <w:pPr>
              <w:snapToGrid w:val="0"/>
              <w:spacing w:line="0" w:lineRule="atLeast"/>
              <w:jc w:val="center"/>
              <w:rPr>
                <w:rFonts w:hint="eastAsia" w:ascii="仿宋" w:hAnsi="仿宋" w:eastAsia="仿宋"/>
                <w:b/>
                <w:w w:val="90"/>
                <w:szCs w:val="21"/>
              </w:rPr>
            </w:pPr>
            <w:r>
              <w:rPr>
                <w:rFonts w:ascii="仿宋" w:hAnsi="仿宋" w:eastAsia="仿宋"/>
                <w:b/>
                <w:w w:val="90"/>
                <w:szCs w:val="21"/>
              </w:rPr>
              <w:t>所属专业类(代码)</w:t>
            </w:r>
          </w:p>
        </w:tc>
        <w:tc>
          <w:tcPr>
            <w:tcW w:w="1500" w:type="dxa"/>
            <w:noWrap w:val="0"/>
            <w:vAlign w:val="center"/>
          </w:tcPr>
          <w:p>
            <w:pPr>
              <w:snapToGrid w:val="0"/>
              <w:spacing w:line="0" w:lineRule="atLeast"/>
              <w:jc w:val="center"/>
              <w:rPr>
                <w:rFonts w:ascii="仿宋" w:hAnsi="仿宋" w:eastAsia="仿宋"/>
                <w:b/>
                <w:w w:val="90"/>
                <w:szCs w:val="21"/>
              </w:rPr>
            </w:pPr>
            <w:r>
              <w:rPr>
                <w:rFonts w:ascii="仿宋" w:hAnsi="仿宋" w:eastAsia="仿宋"/>
                <w:b/>
                <w:w w:val="90"/>
                <w:szCs w:val="21"/>
              </w:rPr>
              <w:t>对应行业</w:t>
            </w:r>
          </w:p>
          <w:p>
            <w:pPr>
              <w:snapToGrid w:val="0"/>
              <w:spacing w:line="0" w:lineRule="atLeast"/>
              <w:jc w:val="center"/>
              <w:rPr>
                <w:rFonts w:hint="eastAsia" w:ascii="仿宋" w:hAnsi="仿宋" w:eastAsia="仿宋"/>
                <w:b/>
                <w:w w:val="90"/>
                <w:szCs w:val="21"/>
              </w:rPr>
            </w:pPr>
            <w:r>
              <w:rPr>
                <w:rFonts w:ascii="仿宋" w:hAnsi="仿宋" w:eastAsia="仿宋"/>
                <w:b/>
                <w:w w:val="90"/>
                <w:szCs w:val="21"/>
              </w:rPr>
              <w:t>(代码)</w:t>
            </w:r>
          </w:p>
        </w:tc>
        <w:tc>
          <w:tcPr>
            <w:tcW w:w="2760" w:type="dxa"/>
            <w:noWrap w:val="0"/>
            <w:vAlign w:val="center"/>
          </w:tcPr>
          <w:p>
            <w:pPr>
              <w:snapToGrid w:val="0"/>
              <w:spacing w:line="0" w:lineRule="atLeast"/>
              <w:jc w:val="center"/>
              <w:rPr>
                <w:rFonts w:ascii="仿宋" w:hAnsi="仿宋" w:eastAsia="仿宋"/>
                <w:b/>
                <w:w w:val="90"/>
                <w:szCs w:val="21"/>
              </w:rPr>
            </w:pPr>
            <w:r>
              <w:rPr>
                <w:rFonts w:ascii="仿宋" w:hAnsi="仿宋" w:eastAsia="仿宋"/>
                <w:b/>
                <w:w w:val="90"/>
                <w:szCs w:val="21"/>
              </w:rPr>
              <w:t>主要职业类别</w:t>
            </w:r>
          </w:p>
          <w:p>
            <w:pPr>
              <w:snapToGrid w:val="0"/>
              <w:spacing w:line="0" w:lineRule="atLeast"/>
              <w:jc w:val="center"/>
              <w:rPr>
                <w:rFonts w:hint="eastAsia" w:ascii="仿宋" w:hAnsi="仿宋" w:eastAsia="仿宋"/>
                <w:b/>
                <w:w w:val="90"/>
                <w:szCs w:val="21"/>
              </w:rPr>
            </w:pPr>
            <w:r>
              <w:rPr>
                <w:rFonts w:ascii="仿宋" w:hAnsi="仿宋" w:eastAsia="仿宋"/>
                <w:b/>
                <w:w w:val="90"/>
                <w:szCs w:val="21"/>
              </w:rPr>
              <w:t>(代码)</w:t>
            </w:r>
          </w:p>
        </w:tc>
        <w:tc>
          <w:tcPr>
            <w:tcW w:w="1530" w:type="dxa"/>
            <w:noWrap w:val="0"/>
            <w:vAlign w:val="center"/>
          </w:tcPr>
          <w:p>
            <w:pPr>
              <w:snapToGrid w:val="0"/>
              <w:spacing w:line="0" w:lineRule="atLeast"/>
              <w:jc w:val="center"/>
              <w:rPr>
                <w:rFonts w:ascii="仿宋" w:hAnsi="仿宋" w:eastAsia="仿宋"/>
                <w:b/>
                <w:w w:val="90"/>
                <w:szCs w:val="21"/>
              </w:rPr>
            </w:pPr>
            <w:r>
              <w:rPr>
                <w:rFonts w:ascii="仿宋" w:hAnsi="仿宋" w:eastAsia="仿宋"/>
                <w:b/>
                <w:w w:val="90"/>
                <w:szCs w:val="21"/>
              </w:rPr>
              <w:t>主要岗位群或</w:t>
            </w:r>
          </w:p>
          <w:p>
            <w:pPr>
              <w:snapToGrid w:val="0"/>
              <w:spacing w:line="0" w:lineRule="atLeast"/>
              <w:jc w:val="center"/>
              <w:rPr>
                <w:rFonts w:hint="eastAsia" w:ascii="仿宋" w:hAnsi="仿宋" w:eastAsia="仿宋"/>
                <w:b/>
                <w:w w:val="90"/>
                <w:szCs w:val="21"/>
              </w:rPr>
            </w:pPr>
            <w:r>
              <w:rPr>
                <w:rFonts w:ascii="仿宋" w:hAnsi="仿宋" w:eastAsia="仿宋"/>
                <w:b/>
                <w:w w:val="90"/>
                <w:szCs w:val="21"/>
              </w:rPr>
              <w:t>技术领域举例</w:t>
            </w:r>
          </w:p>
        </w:tc>
        <w:tc>
          <w:tcPr>
            <w:tcW w:w="879" w:type="dxa"/>
            <w:noWrap w:val="0"/>
            <w:vAlign w:val="center"/>
          </w:tcPr>
          <w:p>
            <w:pPr>
              <w:snapToGrid w:val="0"/>
              <w:spacing w:line="0" w:lineRule="atLeast"/>
              <w:jc w:val="center"/>
              <w:rPr>
                <w:rFonts w:hint="eastAsia" w:ascii="仿宋" w:hAnsi="仿宋" w:eastAsia="仿宋"/>
                <w:b/>
                <w:w w:val="90"/>
                <w:szCs w:val="21"/>
              </w:rPr>
            </w:pPr>
            <w:r>
              <w:rPr>
                <w:rFonts w:ascii="仿宋" w:hAnsi="仿宋" w:eastAsia="仿宋"/>
                <w:b/>
                <w:w w:val="90"/>
                <w:szCs w:val="21"/>
              </w:rPr>
              <w:t>职业资格和职业技能等级证书举例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pStyle w:val="22"/>
              <w:keepNext w:val="0"/>
              <w:keepLines w:val="0"/>
              <w:pageBreakBefore w:val="0"/>
              <w:shd w:val="clear" w:color="auto" w:fill="auto"/>
              <w:kinsoku/>
              <w:wordWrap/>
              <w:overflowPunct/>
              <w:topLinePunct w:val="0"/>
              <w:autoSpaceDE/>
              <w:autoSpaceDN/>
              <w:bidi w:val="0"/>
              <w:adjustRightInd/>
              <w:snapToGrid/>
              <w:spacing w:after="65" w:line="280" w:lineRule="exact"/>
              <w:ind w:left="100" w:firstLine="0"/>
              <w:jc w:val="left"/>
              <w:textAlignment w:val="auto"/>
              <w:rPr>
                <w:rFonts w:hint="eastAsia" w:ascii="方正仿宋_GBK" w:hAnsi="方正仿宋_GBK" w:eastAsia="方正仿宋_GBK" w:cs="方正仿宋_GBK"/>
                <w:bCs/>
                <w:sz w:val="20"/>
                <w:szCs w:val="20"/>
              </w:rPr>
            </w:pPr>
            <w:r>
              <w:rPr>
                <w:rStyle w:val="30"/>
                <w:rFonts w:hint="eastAsia" w:ascii="方正仿宋_GBK" w:hAnsi="方正仿宋_GBK" w:eastAsia="方正仿宋_GBK" w:cs="方正仿宋_GBK"/>
                <w:spacing w:val="20"/>
                <w:sz w:val="20"/>
                <w:szCs w:val="20"/>
                <w:lang w:val="en-US" w:eastAsia="zh-CN"/>
              </w:rPr>
              <w:t>教育与体育大类(77)</w:t>
            </w:r>
          </w:p>
        </w:tc>
        <w:tc>
          <w:tcPr>
            <w:tcW w:w="1320" w:type="dxa"/>
            <w:noWrap w:val="0"/>
            <w:vAlign w:val="center"/>
          </w:tcPr>
          <w:p>
            <w:pPr>
              <w:pStyle w:val="24"/>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Style w:val="30"/>
                <w:rFonts w:hint="eastAsia" w:ascii="方正仿宋_GBK" w:hAnsi="方正仿宋_GBK" w:eastAsia="方正仿宋_GBK" w:cs="方正仿宋_GBK"/>
                <w:spacing w:val="20"/>
                <w:sz w:val="20"/>
                <w:szCs w:val="20"/>
                <w:lang w:val="en-US" w:eastAsia="zh-CN"/>
              </w:rPr>
            </w:pPr>
            <w:r>
              <w:rPr>
                <w:rStyle w:val="30"/>
                <w:rFonts w:hint="eastAsia" w:ascii="方正仿宋_GBK" w:hAnsi="方正仿宋_GBK" w:eastAsia="方正仿宋_GBK" w:cs="方正仿宋_GBK"/>
                <w:spacing w:val="20"/>
                <w:sz w:val="20"/>
                <w:szCs w:val="20"/>
                <w:lang w:val="en-US" w:eastAsia="zh-CN"/>
              </w:rPr>
              <w:t>教育类</w:t>
            </w:r>
          </w:p>
          <w:p>
            <w:pPr>
              <w:pStyle w:val="24"/>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Cs/>
                <w:sz w:val="20"/>
                <w:szCs w:val="20"/>
                <w:lang w:val="en-US"/>
              </w:rPr>
            </w:pPr>
            <w:r>
              <w:rPr>
                <w:rStyle w:val="30"/>
                <w:rFonts w:hint="eastAsia" w:ascii="方正仿宋_GBK" w:hAnsi="方正仿宋_GBK" w:eastAsia="方正仿宋_GBK" w:cs="方正仿宋_GBK"/>
                <w:spacing w:val="20"/>
                <w:kern w:val="2"/>
                <w:sz w:val="20"/>
                <w:szCs w:val="20"/>
                <w:lang w:val="en-US" w:eastAsia="zh-CN" w:bidi="ar-SA"/>
              </w:rPr>
              <w:t>(7701)</w:t>
            </w:r>
          </w:p>
        </w:tc>
        <w:tc>
          <w:tcPr>
            <w:tcW w:w="15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Style w:val="30"/>
                <w:rFonts w:hint="default" w:ascii="方正仿宋_GBK" w:hAnsi="方正仿宋_GBK" w:eastAsia="方正仿宋_GBK" w:cs="方正仿宋_GBK"/>
                <w:spacing w:val="20"/>
                <w:kern w:val="2"/>
                <w:sz w:val="20"/>
                <w:szCs w:val="20"/>
                <w:lang w:val="en-US" w:eastAsia="zh-CN" w:bidi="ar-SA"/>
              </w:rPr>
            </w:pPr>
            <w:r>
              <w:rPr>
                <w:rStyle w:val="30"/>
                <w:rFonts w:hint="eastAsia" w:ascii="方正仿宋_GBK" w:hAnsi="方正仿宋_GBK" w:eastAsia="方正仿宋_GBK" w:cs="方正仿宋_GBK"/>
                <w:spacing w:val="20"/>
                <w:kern w:val="2"/>
                <w:sz w:val="20"/>
                <w:szCs w:val="20"/>
                <w:lang w:val="en-US" w:eastAsia="zh-CN" w:bidi="ar-SA"/>
              </w:rPr>
              <w:t>学前教育</w:t>
            </w:r>
          </w:p>
          <w:p>
            <w:pPr>
              <w:keepNext w:val="0"/>
              <w:keepLines w:val="0"/>
              <w:pageBreakBefore w:val="0"/>
              <w:kinsoku/>
              <w:wordWrap/>
              <w:overflowPunct/>
              <w:topLinePunct w:val="0"/>
              <w:autoSpaceDE/>
              <w:autoSpaceDN/>
              <w:bidi w:val="0"/>
              <w:adjustRightInd/>
              <w:snapToGrid/>
              <w:spacing w:line="280" w:lineRule="exact"/>
              <w:jc w:val="center"/>
              <w:textAlignment w:val="auto"/>
              <w:rPr>
                <w:rStyle w:val="30"/>
                <w:rFonts w:hint="eastAsia" w:ascii="方正仿宋_GBK" w:hAnsi="方正仿宋_GBK" w:eastAsia="方正仿宋_GBK" w:cs="方正仿宋_GBK"/>
                <w:spacing w:val="20"/>
                <w:kern w:val="2"/>
                <w:sz w:val="20"/>
                <w:szCs w:val="20"/>
                <w:lang w:val="en-US" w:eastAsia="zh-CN" w:bidi="ar-SA"/>
              </w:rPr>
            </w:pPr>
            <w:r>
              <w:rPr>
                <w:rStyle w:val="30"/>
                <w:rFonts w:hint="eastAsia" w:ascii="方正仿宋_GBK" w:hAnsi="方正仿宋_GBK" w:eastAsia="方正仿宋_GBK" w:cs="方正仿宋_GBK"/>
                <w:spacing w:val="20"/>
                <w:kern w:val="2"/>
                <w:sz w:val="20"/>
                <w:szCs w:val="20"/>
                <w:lang w:val="en-US" w:eastAsia="zh-CN" w:bidi="ar-SA"/>
              </w:rPr>
              <w:t>（8310）</w:t>
            </w:r>
          </w:p>
        </w:tc>
        <w:tc>
          <w:tcPr>
            <w:tcW w:w="2760"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保育员（4-07-12-01）</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家庭服务人员（4-07-12-02）</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其他保育、家庭服务人员（4-07-12-99）</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保育员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早教老师</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育婴员</w:t>
            </w:r>
          </w:p>
        </w:tc>
        <w:tc>
          <w:tcPr>
            <w:tcW w:w="879"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育婴师</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保育员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sz w:val="20"/>
                <w:szCs w:val="20"/>
                <w:lang w:val="en-US" w:eastAsia="zh-CN"/>
              </w:rPr>
              <w:t>幼儿照护</w:t>
            </w:r>
          </w:p>
        </w:tc>
      </w:tr>
    </w:tbl>
    <w:p>
      <w:pPr>
        <w:pStyle w:val="2"/>
        <w:spacing w:before="0" w:beforeAutospacing="0" w:after="0" w:afterAutospacing="0" w:line="520" w:lineRule="exact"/>
        <w:ind w:firstLine="640" w:firstLineChars="200"/>
        <w:rPr>
          <w:rFonts w:ascii="方正黑体_GBK" w:eastAsia="方正黑体_GBK"/>
          <w:sz w:val="32"/>
          <w:szCs w:val="32"/>
        </w:rPr>
      </w:pPr>
      <w:bookmarkStart w:id="6" w:name="_Toc22259"/>
      <w:r>
        <w:rPr>
          <w:rFonts w:ascii="方正黑体_GBK" w:eastAsia="方正黑体_GBK"/>
          <w:sz w:val="32"/>
          <w:szCs w:val="32"/>
        </w:rPr>
        <w:t>五、培养目标与培养规格</w:t>
      </w:r>
      <w:bookmarkEnd w:id="6"/>
    </w:p>
    <w:p>
      <w:pPr>
        <w:pStyle w:val="3"/>
        <w:spacing w:before="0" w:after="0" w:line="520" w:lineRule="exact"/>
        <w:ind w:firstLine="643" w:firstLineChars="200"/>
        <w:rPr>
          <w:rFonts w:hint="eastAsia" w:ascii="方正楷体_GBK" w:eastAsia="方正楷体_GBK"/>
        </w:rPr>
      </w:pPr>
      <w:bookmarkStart w:id="7" w:name="_Toc1692"/>
      <w:r>
        <w:rPr>
          <w:rFonts w:hint="eastAsia" w:ascii="方正楷体_GBK" w:eastAsia="方正楷体_GBK"/>
        </w:rPr>
        <w:t>(一)培养目标</w:t>
      </w:r>
      <w:bookmarkEnd w:id="7"/>
    </w:p>
    <w:p>
      <w:pPr>
        <w:pStyle w:val="11"/>
        <w:keepNext w:val="0"/>
        <w:keepLines w:val="0"/>
        <w:pageBreakBefore w:val="0"/>
        <w:tabs>
          <w:tab w:val="center" w:pos="4153"/>
        </w:tabs>
        <w:kinsoku/>
        <w:wordWrap/>
        <w:topLinePunct w:val="0"/>
        <w:autoSpaceDE/>
        <w:autoSpaceDN/>
        <w:bidi w:val="0"/>
        <w:spacing w:before="0" w:after="0" w:line="52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kern w:val="2"/>
          <w:sz w:val="32"/>
          <w:szCs w:val="32"/>
          <w:lang w:val="en-US" w:eastAsia="zh-CN" w:bidi="ar-SA"/>
        </w:rPr>
        <w:t>本专业坚持德技双修的原则，落实课程思政，五育并举、立德树人，面向各级各类幼儿园、托儿所、早教机构及社会福利机构等行业企业，培养热爱幼儿、热爱学前教育事业，具有较好的文化基础知识、扎实的幼儿保育专业技能，坚守理想信念、德智体美劳全面发展的，从事保育、教育、早教、幼儿照护等一线工作的高素质技术技能人才。</w:t>
      </w:r>
    </w:p>
    <w:p>
      <w:pPr>
        <w:pStyle w:val="3"/>
        <w:spacing w:before="0" w:after="0" w:line="520" w:lineRule="exact"/>
        <w:ind w:firstLine="643" w:firstLineChars="200"/>
        <w:rPr>
          <w:rFonts w:hint="eastAsia" w:ascii="方正楷体_GBK" w:eastAsia="方正楷体_GBK"/>
        </w:rPr>
      </w:pPr>
      <w:bookmarkStart w:id="8" w:name="_Toc12442"/>
      <w:r>
        <w:rPr>
          <w:rFonts w:hint="eastAsia" w:ascii="方正楷体_GBK" w:eastAsia="方正楷体_GBK"/>
        </w:rPr>
        <w:t>(二)培养规格</w:t>
      </w:r>
      <w:bookmarkEnd w:id="8"/>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本专业毕业生应具有以下素</w:t>
      </w:r>
      <w:r>
        <w:rPr>
          <w:rFonts w:hint="eastAsia" w:ascii="方正仿宋_GBK" w:hAnsi="方正仿宋_GBK" w:eastAsia="方正仿宋_GBK" w:cs="方正仿宋_GBK"/>
          <w:sz w:val="32"/>
          <w:szCs w:val="32"/>
          <w:lang w:val="en-US" w:eastAsia="zh-CN"/>
        </w:rPr>
        <w:t>养</w:t>
      </w:r>
      <w:r>
        <w:rPr>
          <w:rFonts w:hint="eastAsia" w:ascii="方正仿宋_GBK" w:hAnsi="方正仿宋_GBK" w:eastAsia="方正仿宋_GBK" w:cs="方正仿宋_GBK"/>
          <w:sz w:val="32"/>
          <w:szCs w:val="32"/>
        </w:rPr>
        <w:t>、知识和能力：</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1.素</w:t>
      </w:r>
      <w:r>
        <w:rPr>
          <w:rFonts w:hint="eastAsia" w:ascii="方正仿宋_GBK" w:hAnsi="方正仿宋_GBK" w:eastAsia="方正仿宋_GBK" w:cs="方正仿宋_GBK"/>
          <w:sz w:val="32"/>
          <w:szCs w:val="32"/>
          <w:lang w:val="en-US" w:eastAsia="zh-CN"/>
        </w:rPr>
        <w:t>养</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(1)具有良好的职业道德，能自觉遵守行业法规、规范和企业规章制度； </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具有强烈的责任意识，热爱学前教育事业，关爱学前儿童，耐心细致，做事认真</w:t>
      </w:r>
      <w:r>
        <w:rPr>
          <w:rFonts w:hint="eastAsia" w:ascii="方正仿宋_GBK" w:hAnsi="方正仿宋_GBK" w:eastAsia="方正仿宋_GBK" w:cs="方正仿宋_GBK"/>
          <w:sz w:val="32"/>
          <w:szCs w:val="32"/>
          <w:lang w:val="en-US" w:eastAsia="zh-CN"/>
        </w:rPr>
        <w:t>;</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具有诚实守信、吃苦耐劳、虚心好学、善于沟通合作的职业素质；</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具有维护公共利益，勇于承担责任的品质；</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)具有良好的职业道德与艺术品格；</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)具有较好的艺术素养和审美能力；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)具有良好的人际交往、团队协作能力；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)具有环境保护、安全生产的意识；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)具有运用计算机进行技术交流和信息处理的能力；</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)具有借助工具查阅中、英文技术资料的基础能力。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2.知识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(1)掌握本专业所必需的语文、数学、英语等文化基础课知识；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(2)掌握本专业所必需的计算机等信息技术基础课知识；</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(3)掌握本专业所需要的自然科学、营养健康等基础课知识</w:t>
      </w:r>
      <w:r>
        <w:rPr>
          <w:rFonts w:hint="eastAsia" w:ascii="方正仿宋_GBK" w:hAnsi="方正仿宋_GBK" w:eastAsia="方正仿宋_GBK" w:cs="方正仿宋_GBK"/>
          <w:sz w:val="32"/>
          <w:szCs w:val="32"/>
          <w:lang w:val="en-US" w:eastAsia="zh-CN"/>
        </w:rPr>
        <w:t>；</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val="en-US" w:eastAsia="zh-CN"/>
        </w:rPr>
        <w:t>掌握</w:t>
      </w:r>
      <w:r>
        <w:rPr>
          <w:rFonts w:hint="eastAsia" w:ascii="方正仿宋_GBK" w:hAnsi="方正仿宋_GBK" w:eastAsia="方正仿宋_GBK" w:cs="方正仿宋_GBK"/>
          <w:kern w:val="0"/>
          <w:sz w:val="32"/>
          <w:szCs w:val="32"/>
        </w:rPr>
        <w:t>学前儿童卫生保健的基础知识，掌握幼儿常见病及传染病的基础知识及处理方法；</w:t>
      </w:r>
    </w:p>
    <w:p>
      <w:pPr>
        <w:keepNext w:val="0"/>
        <w:keepLines w:val="0"/>
        <w:pageBreakBefore w:val="0"/>
        <w:kinsoku/>
        <w:wordWrap/>
        <w:topLinePunct w:val="0"/>
        <w:autoSpaceDE/>
        <w:autoSpaceDN/>
        <w:bidi w:val="0"/>
        <w:ind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了解</w:t>
      </w:r>
      <w:r>
        <w:rPr>
          <w:rFonts w:hint="eastAsia" w:ascii="方正仿宋_GBK" w:hAnsi="方正仿宋_GBK" w:eastAsia="方正仿宋_GBK" w:cs="方正仿宋_GBK"/>
          <w:kern w:val="0"/>
          <w:sz w:val="32"/>
          <w:szCs w:val="32"/>
          <w:lang w:val="en-US" w:eastAsia="zh-CN"/>
        </w:rPr>
        <w:t>学前儿童发展心理基础知识，掌握常见幼儿行为心理发展趋势；</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(6)了解幼儿学习与发展的基本知识、幼儿教育目标、策略和基本方法，熟悉幼儿园教育目标、任务、内容、要求和基本原则；</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(7)掌握绘画、图案、简笔画及手工制作的基本知识；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(8)掌握乐理、歌曲演唱的基本知识与技能以及键盘乐器演奏的基础知识和基本技能；</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(9)掌握我国主要民族民间舞蹈的基本知识；</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lang w:eastAsia="zh-CN"/>
        </w:rPr>
        <w:t>掌握幼儿园各领域活动的目标及主要内容、各年龄段语言领域教学活动方案设计；</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(11)掌握幼儿园玩教具制作的基本知识</w:t>
      </w:r>
      <w:r>
        <w:rPr>
          <w:rFonts w:hint="eastAsia" w:ascii="方正仿宋_GBK" w:hAnsi="方正仿宋_GBK" w:eastAsia="方正仿宋_GBK" w:cs="方正仿宋_GBK"/>
          <w:sz w:val="32"/>
          <w:szCs w:val="32"/>
          <w:lang w:eastAsia="zh-CN"/>
        </w:rPr>
        <w:t>；</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(12)了解不同年龄幼儿生理发展特点、规律和促进幼儿生理发展的策略和方法，能够严格执行卫生保健制度；</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(13)了解幼儿卫生保健内容及护理方式，早期教学活动设计与组织;</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(14)掌握普通话、口语交际、幼儿语言特点和教师常用幼儿教育语言知识；</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(15)了解幼儿园游戏的分类，掌握不同游戏的组织与指导方式的基本知识；</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(16)了解幼儿园一日活动的各个环节，掌握在幼儿园一日活动中保育工作要点。</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(1)能熟练运用卫生保健知识进行疾病预防、安全防护与救助，保护学前儿童健康发展；能初步解决幼儿保健发展中容易出现的问题并能针对性采用适宜对策；</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(2)能正确识别幼儿心理现象，初步解决幼儿心理发展中容易出现的问题并能针对性采用适宜的对策；</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(3)能在教育活动中观察幼儿，根据幼儿的表现和需要，调整活动，给予适宜的指导；能与幼儿及其家庭进行友好相处、交往、互动与合作</w:t>
      </w:r>
      <w:r>
        <w:rPr>
          <w:rFonts w:hint="eastAsia" w:ascii="方正仿宋_GBK" w:hAnsi="方正仿宋_GBK" w:eastAsia="方正仿宋_GBK" w:cs="方正仿宋_GBK"/>
          <w:sz w:val="32"/>
          <w:szCs w:val="32"/>
          <w:lang w:eastAsia="zh-CN"/>
        </w:rPr>
        <w:t>；</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(4)能够恰当、熟练运用简笔画；能选择适宜材料、运用正确的技法进行美术创作的能力；能运用绘画及手工制作的基本技能，指导幼儿学习绘画；</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能够结合键盘、声乐等技能训练理解并正确运用；具有边弹边唱幼儿歌曲的能力；掌握键盘乐器演奏的技能技能，能正确演奏不同内容、风格的作品，具有为幼儿歌曲编配简单伴奏的能力；能够指导幼儿学唱和表演，排练合唱；</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(6)能熟练运用我国主要民族民间舞蹈的基本技能，指导幼儿进行舞蹈学习；</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(7)能根据幼儿年龄特点，正确运用组织方法，设计并实施各年龄段的各领域教育活动。能够对幼儿教育活动进行评价；</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(8)能根据幼儿园教学活动需要初步设计与制作相应领域活动的玩教具</w:t>
      </w:r>
      <w:bookmarkStart w:id="38" w:name="_GoBack"/>
      <w:bookmarkEnd w:id="38"/>
      <w:r>
        <w:rPr>
          <w:rFonts w:hint="eastAsia" w:ascii="方正仿宋_GBK" w:hAnsi="方正仿宋_GBK" w:eastAsia="方正仿宋_GBK" w:cs="方正仿宋_GBK"/>
          <w:sz w:val="32"/>
          <w:szCs w:val="32"/>
          <w:lang w:val="en-US" w:eastAsia="zh-CN"/>
        </w:rPr>
        <w:t>；</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(9)能正确运用保育知识对幼儿园进行生活直到、消毒及意外处理；</w:t>
      </w:r>
    </w:p>
    <w:p>
      <w:pPr>
        <w:keepNext w:val="0"/>
        <w:keepLines w:val="0"/>
        <w:pageBreakBefore w:val="0"/>
        <w:kinsoku/>
        <w:wordWrap/>
        <w:overflowPunct w:val="0"/>
        <w:topLinePunct w:val="0"/>
        <w:autoSpaceDE/>
        <w:autoSpaceDN/>
        <w:bidi w:val="0"/>
        <w:adjustRightInd w:val="0"/>
        <w:spacing w:line="52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(10)能正确运用保育知识对幼儿园进行生活指导、消毒及意外处理；</w:t>
      </w:r>
    </w:p>
    <w:p>
      <w:pPr>
        <w:widowControl/>
        <w:numPr>
          <w:ilvl w:val="0"/>
          <w:numId w:val="0"/>
        </w:num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(11)能熟练运用幼儿语言特点和教师常用幼儿教育语言技能，用普通话准确、清晰、亲切地进行口语表达；</w:t>
      </w:r>
    </w:p>
    <w:p>
      <w:pPr>
        <w:widowControl/>
        <w:numPr>
          <w:ilvl w:val="0"/>
          <w:numId w:val="0"/>
        </w:num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(12)能提供符合幼儿兴趣需要、年龄特点和发展目标的游戏条件，能充分利用游戏空间设计游戏，支持、引发和促进幼儿游戏；</w:t>
      </w:r>
    </w:p>
    <w:p>
      <w:pPr>
        <w:widowControl/>
        <w:numPr>
          <w:ilvl w:val="0"/>
          <w:numId w:val="0"/>
        </w:num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(13)能正确熟练开展幼儿园一日活动中的日常活动、游戏活动、教学活动、运动活动。</w:t>
      </w:r>
    </w:p>
    <w:p>
      <w:pPr>
        <w:pStyle w:val="2"/>
        <w:spacing w:before="0" w:beforeAutospacing="0" w:after="0" w:afterAutospacing="0" w:line="520" w:lineRule="exact"/>
        <w:ind w:firstLine="640" w:firstLineChars="200"/>
        <w:rPr>
          <w:rFonts w:ascii="方正黑体_GBK" w:eastAsia="方正黑体_GBK"/>
          <w:sz w:val="32"/>
          <w:szCs w:val="32"/>
        </w:rPr>
      </w:pPr>
      <w:bookmarkStart w:id="9" w:name="_Toc21220"/>
      <w:r>
        <w:rPr>
          <w:rFonts w:ascii="方正黑体_GBK" w:eastAsia="方正黑体_GBK"/>
          <w:sz w:val="32"/>
          <w:szCs w:val="32"/>
        </w:rPr>
        <w:t>六、课程设置及要求</w:t>
      </w:r>
      <w:bookmarkEnd w:id="9"/>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本专业的课程设置分为公共基础课程和专业技能课程。公共基础课包括公共基础必修课和公共基础选修课。专业技能课包括专业核心课、专业方向课、专业选修课和教学实习。</w:t>
      </w:r>
    </w:p>
    <w:p>
      <w:pPr>
        <w:pStyle w:val="3"/>
        <w:spacing w:before="0" w:after="0" w:line="520" w:lineRule="exact"/>
        <w:ind w:firstLine="643" w:firstLineChars="200"/>
        <w:rPr>
          <w:rFonts w:hint="eastAsia" w:ascii="方正楷体_GBK" w:eastAsia="方正楷体_GBK"/>
        </w:rPr>
      </w:pPr>
      <w:bookmarkStart w:id="10" w:name="_Toc27047"/>
      <w:r>
        <w:rPr>
          <w:rFonts w:hint="eastAsia" w:ascii="方正楷体_GBK" w:eastAsia="方正楷体_GBK"/>
        </w:rPr>
        <w:t>(一)课程结构</w:t>
      </w:r>
      <w:bookmarkEnd w:id="10"/>
    </w:p>
    <w:p>
      <w:pPr>
        <w:pStyle w:val="3"/>
        <w:spacing w:before="0" w:after="0" w:line="240" w:lineRule="auto"/>
        <w:rPr>
          <w:rFonts w:hint="eastAsia" w:ascii="方正楷体_GBK" w:eastAsia="方正楷体_GBK"/>
        </w:rPr>
      </w:pPr>
      <w:r>
        <w:rPr>
          <w:rFonts w:hint="eastAsia" w:ascii="方正仿宋_GBK" w:hAnsi="方正仿宋_GBK" w:eastAsia="方正仿宋_GBK" w:cs="方正仿宋_GBK"/>
          <w:b w:val="0"/>
          <w:bCs w:val="0"/>
          <w:sz w:val="28"/>
          <w:szCs w:val="28"/>
        </w:rPr>
        <w:drawing>
          <wp:inline distT="0" distB="0" distL="114300" distR="114300">
            <wp:extent cx="5652770" cy="5625465"/>
            <wp:effectExtent l="0" t="0" r="11430" b="635"/>
            <wp:docPr id="4" name="图片 4" descr="人培方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培方案1"/>
                    <pic:cNvPicPr>
                      <a:picLocks noChangeAspect="1"/>
                    </pic:cNvPicPr>
                  </pic:nvPicPr>
                  <pic:blipFill>
                    <a:blip r:embed="rId12"/>
                    <a:stretch>
                      <a:fillRect/>
                    </a:stretch>
                  </pic:blipFill>
                  <pic:spPr>
                    <a:xfrm>
                      <a:off x="0" y="0"/>
                      <a:ext cx="5652770" cy="5625465"/>
                    </a:xfrm>
                    <a:prstGeom prst="rect">
                      <a:avLst/>
                    </a:prstGeom>
                  </pic:spPr>
                </pic:pic>
              </a:graphicData>
            </a:graphic>
          </wp:inline>
        </w:drawing>
      </w:r>
      <w:r>
        <w:rPr>
          <w:rFonts w:hint="eastAsia" w:ascii="方正仿宋_GBK" w:hAnsi="方正仿宋_GBK" w:eastAsia="方正仿宋_GBK" w:cs="方正仿宋_GBK"/>
          <w:b w:val="0"/>
          <w:bCs w:val="0"/>
          <w:sz w:val="28"/>
          <w:szCs w:val="28"/>
        </w:rPr>
        <w:br w:type="page"/>
      </w:r>
      <w:bookmarkStart w:id="11" w:name="_Toc19370974"/>
      <w:bookmarkStart w:id="12" w:name="_Toc20778"/>
      <w:r>
        <w:rPr>
          <w:rFonts w:hint="eastAsia" w:ascii="方正楷体_GBK" w:eastAsia="方正楷体_GBK"/>
        </w:rPr>
        <w:t>(二)课程设置及要求</w:t>
      </w:r>
      <w:bookmarkEnd w:id="11"/>
      <w:bookmarkEnd w:id="12"/>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1.公共基础课程</w:t>
      </w:r>
    </w:p>
    <w:p>
      <w:pPr>
        <w:widowControl/>
        <w:spacing w:line="520" w:lineRule="exact"/>
        <w:ind w:firstLine="640" w:firstLineChars="200"/>
        <w:rPr>
          <w:rFonts w:hint="eastAsia" w:ascii="方正仿宋_GBK" w:eastAsia="方正仿宋_GBK"/>
          <w:bCs/>
          <w:sz w:val="28"/>
          <w:szCs w:val="28"/>
        </w:rPr>
      </w:pPr>
      <w:r>
        <w:rPr>
          <w:rFonts w:hint="eastAsia" w:ascii="方正仿宋_GBK" w:hAnsi="方正仿宋_GBK" w:eastAsia="方正仿宋_GBK" w:cs="方正仿宋_GBK"/>
          <w:sz w:val="32"/>
          <w:szCs w:val="32"/>
        </w:rPr>
        <w:t>(1)必修课程</w:t>
      </w:r>
    </w:p>
    <w:tbl>
      <w:tblPr>
        <w:tblStyle w:val="12"/>
        <w:tblW w:w="9071" w:type="dxa"/>
        <w:tblInd w:w="-23" w:type="dxa"/>
        <w:tblLayout w:type="fixed"/>
        <w:tblCellMar>
          <w:top w:w="0" w:type="dxa"/>
          <w:left w:w="108" w:type="dxa"/>
          <w:bottom w:w="0" w:type="dxa"/>
          <w:right w:w="108" w:type="dxa"/>
        </w:tblCellMar>
      </w:tblPr>
      <w:tblGrid>
        <w:gridCol w:w="680"/>
        <w:gridCol w:w="1587"/>
        <w:gridCol w:w="6124"/>
        <w:gridCol w:w="680"/>
      </w:tblGrid>
      <w:tr>
        <w:tblPrEx>
          <w:tblCellMar>
            <w:top w:w="0" w:type="dxa"/>
            <w:left w:w="108" w:type="dxa"/>
            <w:bottom w:w="0" w:type="dxa"/>
            <w:right w:w="108"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序号</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课程名称</w:t>
            </w:r>
          </w:p>
        </w:tc>
        <w:tc>
          <w:tcPr>
            <w:tcW w:w="61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教学内容和要求</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参考课时</w:t>
            </w:r>
          </w:p>
        </w:tc>
      </w:tr>
      <w:tr>
        <w:tblPrEx>
          <w:tblCellMar>
            <w:top w:w="0" w:type="dxa"/>
            <w:left w:w="108" w:type="dxa"/>
            <w:bottom w:w="0" w:type="dxa"/>
            <w:right w:w="108" w:type="dxa"/>
          </w:tblCellMar>
        </w:tblPrEx>
        <w:trPr>
          <w:trHeight w:val="68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楷体_GBK" w:hAnsi="仿宋" w:eastAsia="方正楷体_GBK"/>
                <w:bCs/>
                <w:sz w:val="21"/>
                <w:szCs w:val="21"/>
                <w:highlight w:val="none"/>
                <w:lang w:val="en-US" w:eastAsia="zh-CN"/>
              </w:rPr>
            </w:pPr>
            <w:r>
              <w:rPr>
                <w:rFonts w:hint="eastAsia" w:ascii="方正楷体_GBK" w:hAnsi="仿宋" w:eastAsia="方正楷体_GBK"/>
                <w:bCs/>
                <w:sz w:val="21"/>
                <w:szCs w:val="21"/>
                <w:highlight w:val="none"/>
                <w:lang w:val="en-US" w:eastAsia="zh-CN"/>
              </w:rPr>
              <w:t>中国特色社会主义</w:t>
            </w:r>
          </w:p>
        </w:tc>
        <w:tc>
          <w:tcPr>
            <w:tcW w:w="61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思想政治课程标准》开设。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楷体_GBK" w:hAnsi="仿宋" w:eastAsia="方正楷体_GBK"/>
                <w:bCs/>
                <w:sz w:val="21"/>
                <w:szCs w:val="21"/>
                <w:highlight w:val="none"/>
                <w:lang w:val="en-US" w:eastAsia="zh-CN"/>
              </w:rPr>
            </w:pPr>
            <w:r>
              <w:rPr>
                <w:rFonts w:hint="eastAsia" w:ascii="方正楷体_GBK" w:hAnsi="仿宋" w:eastAsia="方正楷体_GBK"/>
                <w:bCs/>
                <w:sz w:val="21"/>
                <w:szCs w:val="21"/>
                <w:highlight w:val="none"/>
                <w:lang w:val="en-US" w:eastAsia="zh-CN"/>
              </w:rPr>
              <w:t>心理健康与职业生涯</w:t>
            </w:r>
          </w:p>
        </w:tc>
        <w:tc>
          <w:tcPr>
            <w:tcW w:w="61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hint="eastAsia" w:ascii="方正楷体_GBK" w:hAnsi="仿宋" w:eastAsia="方正楷体_GBK"/>
                <w:bCs/>
                <w:sz w:val="21"/>
                <w:szCs w:val="21"/>
                <w:highlight w:val="none"/>
              </w:rPr>
            </w:pPr>
            <w:r>
              <w:rPr>
                <w:rFonts w:hint="eastAsia" w:ascii="方正仿宋_GBK" w:hAnsi="方正仿宋_GBK" w:eastAsia="方正仿宋_GBK" w:cs="方正仿宋_GBK"/>
                <w:sz w:val="21"/>
                <w:szCs w:val="21"/>
                <w:lang w:val="en-US" w:eastAsia="zh-CN"/>
              </w:rPr>
              <w:t>依</w:t>
            </w:r>
            <w:r>
              <w:rPr>
                <w:rFonts w:hint="eastAsia" w:ascii="方正仿宋_GBK" w:hAnsi="方正仿宋_GBK" w:eastAsia="方正仿宋_GBK" w:cs="方正仿宋_GBK"/>
                <w:sz w:val="21"/>
                <w:szCs w:val="21"/>
              </w:rPr>
              <w:t>据《中等职业学校思想政治课程标准》开设</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楷体_GBK" w:hAnsi="仿宋" w:eastAsia="方正楷体_GBK"/>
                <w:bCs/>
                <w:sz w:val="21"/>
                <w:szCs w:val="21"/>
                <w:highlight w:val="none"/>
                <w:lang w:val="en-US" w:eastAsia="zh-CN"/>
              </w:rPr>
            </w:pPr>
            <w:r>
              <w:rPr>
                <w:rFonts w:hint="eastAsia" w:ascii="方正楷体_GBK" w:hAnsi="仿宋" w:eastAsia="方正楷体_GBK"/>
                <w:bCs/>
                <w:sz w:val="21"/>
                <w:szCs w:val="21"/>
                <w:highlight w:val="none"/>
                <w:lang w:val="en-US" w:eastAsia="zh-CN"/>
              </w:rPr>
              <w:t>哲学与人生</w:t>
            </w:r>
          </w:p>
        </w:tc>
        <w:tc>
          <w:tcPr>
            <w:tcW w:w="61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hint="eastAsia" w:ascii="方正楷体_GBK" w:hAnsi="仿宋" w:eastAsia="方正仿宋_GBK"/>
                <w:bCs/>
                <w:sz w:val="21"/>
                <w:szCs w:val="21"/>
                <w:highlight w:val="none"/>
                <w:lang w:eastAsia="zh-CN"/>
              </w:rPr>
            </w:pPr>
            <w:r>
              <w:rPr>
                <w:rFonts w:hint="eastAsia" w:ascii="方正仿宋_GBK" w:hAnsi="方正仿宋_GBK" w:eastAsia="方正仿宋_GBK" w:cs="方正仿宋_GBK"/>
                <w:sz w:val="21"/>
                <w:szCs w:val="21"/>
              </w:rPr>
              <w:t>依据《中等职业学校思想政治课程标准》开设。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r>
              <w:rPr>
                <w:rFonts w:hint="eastAsia" w:ascii="方正仿宋_GBK" w:hAnsi="方正仿宋_GBK" w:eastAsia="方正仿宋_GBK" w:cs="方正仿宋_GBK"/>
                <w:sz w:val="21"/>
                <w:szCs w:val="21"/>
                <w:lang w:eastAsia="zh-CN"/>
              </w:rPr>
              <w:t>。</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楷体_GBK" w:hAnsi="仿宋" w:eastAsia="方正楷体_GBK"/>
                <w:bCs/>
                <w:sz w:val="21"/>
                <w:szCs w:val="21"/>
                <w:highlight w:val="none"/>
                <w:lang w:val="en-US" w:eastAsia="zh-CN"/>
              </w:rPr>
            </w:pPr>
            <w:r>
              <w:rPr>
                <w:rFonts w:hint="eastAsia" w:ascii="方正楷体_GBK" w:hAnsi="仿宋" w:eastAsia="方正楷体_GBK"/>
                <w:bCs/>
                <w:sz w:val="21"/>
                <w:szCs w:val="21"/>
                <w:highlight w:val="none"/>
                <w:lang w:val="en-US" w:eastAsia="zh-CN"/>
              </w:rPr>
              <w:t>职业道德与法治</w:t>
            </w:r>
          </w:p>
        </w:tc>
        <w:tc>
          <w:tcPr>
            <w:tcW w:w="61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hint="eastAsia" w:ascii="方正楷体_GBK" w:hAnsi="仿宋" w:eastAsia="方正楷体_GBK"/>
                <w:bCs/>
                <w:sz w:val="21"/>
                <w:szCs w:val="21"/>
                <w:highlight w:val="none"/>
                <w:lang w:eastAsia="zh-CN"/>
              </w:rPr>
            </w:pPr>
            <w:r>
              <w:rPr>
                <w:rFonts w:hint="eastAsia" w:ascii="方正仿宋_GBK" w:hAnsi="方正仿宋_GBK" w:eastAsia="方正仿宋_GBK" w:cs="方正仿宋_GBK"/>
                <w:sz w:val="21"/>
                <w:szCs w:val="21"/>
              </w:rPr>
              <w:t>依据《中等职业学校思想政治课程标准》开设。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280" w:lineRule="exact"/>
              <w:jc w:val="center"/>
              <w:textAlignment w:val="auto"/>
              <w:outlineLvl w:val="9"/>
              <w:rPr>
                <w:rFonts w:hint="default" w:ascii="方正仿宋_GBK" w:hAnsi="方正仿宋_GBK" w:eastAsia="方正仿宋_GBK" w:cs="方正仿宋_GBK"/>
                <w:spacing w:val="-6"/>
                <w:sz w:val="21"/>
                <w:szCs w:val="21"/>
                <w:lang w:val="en-US" w:eastAsia="zh-CN"/>
              </w:rPr>
            </w:pPr>
            <w:r>
              <w:rPr>
                <w:rFonts w:hint="eastAsia" w:ascii="方正楷体_GBK" w:hAnsi="仿宋" w:eastAsia="方正楷体_GBK" w:cs="Times New Roman"/>
                <w:bCs/>
                <w:sz w:val="21"/>
                <w:szCs w:val="21"/>
                <w:highlight w:val="none"/>
                <w:lang w:val="en-US" w:eastAsia="zh-CN"/>
              </w:rPr>
              <w:t>习近平新时代中国特色社会主义思想</w:t>
            </w:r>
          </w:p>
        </w:tc>
        <w:tc>
          <w:tcPr>
            <w:tcW w:w="61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280" w:lineRule="exact"/>
              <w:ind w:firstLine="396" w:firstLineChars="200"/>
              <w:jc w:val="left"/>
              <w:textAlignment w:val="auto"/>
              <w:outlineLvl w:val="9"/>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lang w:val="en-US" w:eastAsia="zh-CN"/>
              </w:rPr>
              <w:t>深刻领会</w:t>
            </w:r>
            <w:r>
              <w:rPr>
                <w:rFonts w:hint="eastAsia" w:ascii="方正仿宋_GBK" w:hAnsi="方正仿宋_GBK" w:eastAsia="方正仿宋_GBK" w:cs="方正仿宋_GBK"/>
                <w:spacing w:val="-6"/>
                <w:sz w:val="21"/>
                <w:szCs w:val="21"/>
              </w:rPr>
              <w:t>习近平新时代中国特色社会主义思想，</w:t>
            </w:r>
            <w:r>
              <w:rPr>
                <w:rFonts w:hint="eastAsia" w:ascii="方正仿宋_GBK" w:hAnsi="方正仿宋_GBK" w:eastAsia="方正仿宋_GBK" w:cs="方正仿宋_GBK"/>
                <w:spacing w:val="-6"/>
                <w:sz w:val="21"/>
                <w:szCs w:val="21"/>
                <w:lang w:val="en-US" w:eastAsia="zh-CN"/>
              </w:rPr>
              <w:t>了解</w:t>
            </w:r>
            <w:r>
              <w:rPr>
                <w:rFonts w:hint="eastAsia" w:ascii="方正仿宋_GBK" w:hAnsi="方正仿宋_GBK" w:eastAsia="方正仿宋_GBK" w:cs="方正仿宋_GBK"/>
                <w:spacing w:val="-6"/>
                <w:sz w:val="21"/>
                <w:szCs w:val="21"/>
              </w:rPr>
              <w:t>新时代坚持和发展中国特色社会主义的总目标、总任务、总体布局等，</w:t>
            </w:r>
            <w:r>
              <w:rPr>
                <w:rFonts w:hint="eastAsia" w:ascii="方正仿宋_GBK" w:hAnsi="方正仿宋_GBK" w:eastAsia="方正仿宋_GBK" w:cs="方正仿宋_GBK"/>
                <w:spacing w:val="-6"/>
                <w:sz w:val="21"/>
                <w:szCs w:val="21"/>
                <w:lang w:val="en-US" w:eastAsia="zh-CN"/>
              </w:rPr>
              <w:t>领会</w:t>
            </w:r>
            <w:r>
              <w:rPr>
                <w:rFonts w:hint="eastAsia" w:ascii="方正仿宋_GBK" w:hAnsi="方正仿宋_GBK" w:eastAsia="方正仿宋_GBK" w:cs="方正仿宋_GBK"/>
                <w:spacing w:val="-6"/>
                <w:sz w:val="21"/>
                <w:szCs w:val="21"/>
              </w:rPr>
              <w:t>经济、政治、法治、科技、文化、教育、民生、民族、宗教、社会、生态文明、国家安全、国防和军队、“一国两制”和祖国统一、统一战线、外交、党的建设等各方</w:t>
            </w:r>
            <w:r>
              <w:rPr>
                <w:rFonts w:hint="eastAsia" w:ascii="方正仿宋_GBK" w:hAnsi="方正仿宋_GBK" w:eastAsia="方正仿宋_GBK" w:cs="方正仿宋_GBK"/>
                <w:spacing w:val="-6"/>
                <w:sz w:val="21"/>
                <w:szCs w:val="21"/>
                <w:lang w:val="en-US" w:eastAsia="zh-CN"/>
              </w:rPr>
              <w:t>面论述。</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18</w:t>
            </w:r>
          </w:p>
        </w:tc>
      </w:tr>
      <w:tr>
        <w:tblPrEx>
          <w:tblCellMar>
            <w:top w:w="0" w:type="dxa"/>
            <w:left w:w="108" w:type="dxa"/>
            <w:bottom w:w="0" w:type="dxa"/>
            <w:right w:w="108"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6</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Cs/>
                <w:sz w:val="21"/>
                <w:szCs w:val="21"/>
                <w:highlight w:val="none"/>
              </w:rPr>
            </w:pPr>
            <w:r>
              <w:rPr>
                <w:rFonts w:hint="eastAsia" w:ascii="方正楷体_GBK" w:hAnsi="仿宋" w:eastAsia="方正楷体_GBK"/>
                <w:bCs/>
                <w:sz w:val="21"/>
                <w:szCs w:val="21"/>
                <w:highlight w:val="none"/>
              </w:rPr>
              <w:t>语文</w:t>
            </w:r>
          </w:p>
        </w:tc>
        <w:tc>
          <w:tcPr>
            <w:tcW w:w="61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spacing w:line="280" w:lineRule="exact"/>
              <w:ind w:firstLine="396"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pacing w:val="-6"/>
                <w:sz w:val="21"/>
                <w:szCs w:val="21"/>
              </w:rPr>
              <w:t>依据《中等职业学校语文课程标准》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216</w:t>
            </w:r>
          </w:p>
        </w:tc>
      </w:tr>
      <w:tr>
        <w:tblPrEx>
          <w:tblCellMar>
            <w:top w:w="0" w:type="dxa"/>
            <w:left w:w="108" w:type="dxa"/>
            <w:bottom w:w="0" w:type="dxa"/>
            <w:right w:w="108"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7</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Cs/>
                <w:sz w:val="21"/>
                <w:szCs w:val="21"/>
                <w:highlight w:val="none"/>
              </w:rPr>
            </w:pPr>
            <w:r>
              <w:rPr>
                <w:rFonts w:hint="eastAsia" w:ascii="方正楷体_GBK" w:hAnsi="仿宋" w:eastAsia="方正楷体_GBK"/>
                <w:bCs/>
                <w:sz w:val="21"/>
                <w:szCs w:val="21"/>
                <w:highlight w:val="none"/>
              </w:rPr>
              <w:t>数学</w:t>
            </w:r>
          </w:p>
        </w:tc>
        <w:tc>
          <w:tcPr>
            <w:tcW w:w="61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数学课程标准》开设。通过学习学生提高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252</w:t>
            </w:r>
          </w:p>
        </w:tc>
      </w:tr>
      <w:tr>
        <w:tblPrEx>
          <w:tblCellMar>
            <w:top w:w="0" w:type="dxa"/>
            <w:left w:w="108" w:type="dxa"/>
            <w:bottom w:w="0" w:type="dxa"/>
            <w:right w:w="108"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8</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Cs/>
                <w:sz w:val="21"/>
                <w:szCs w:val="21"/>
                <w:highlight w:val="none"/>
              </w:rPr>
            </w:pPr>
            <w:r>
              <w:rPr>
                <w:rFonts w:hint="eastAsia" w:ascii="方正楷体_GBK" w:hAnsi="仿宋" w:eastAsia="方正楷体_GBK"/>
                <w:bCs/>
                <w:sz w:val="21"/>
                <w:szCs w:val="21"/>
                <w:highlight w:val="none"/>
              </w:rPr>
              <w:t>英语</w:t>
            </w:r>
          </w:p>
        </w:tc>
        <w:tc>
          <w:tcPr>
            <w:tcW w:w="61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英语课程标准》开设。通过学习学生职场语言沟通目标：在日常英语的基础上，围绕职场相关主题，能运用所学语言知识，理解不同类型语篇所传递的意义和情感；能以口头或书面形式进行基本的沟通；能在职场中综合运用语言知识和技能进行交流。能理解英语在表达方式上体现出的中西思维差异：能理解英语在逻辑论证上体现出的中西思维差异；在了解中西思维差异的基础上，能客观对待不同观点，做出正确价值判断。跨文化理解目标：能了解世界文化的多样性；能了解中外文化及中外企业文化；能进行基本的跨文化交流；能用英语讲述中国故事，促进中华优秀文化传播。</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216</w:t>
            </w:r>
          </w:p>
        </w:tc>
      </w:tr>
      <w:tr>
        <w:tblPrEx>
          <w:tblCellMar>
            <w:top w:w="0" w:type="dxa"/>
            <w:left w:w="108" w:type="dxa"/>
            <w:bottom w:w="0" w:type="dxa"/>
            <w:right w:w="108"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adjustRightInd w:val="0"/>
              <w:snapToGrid w:val="0"/>
              <w:spacing w:line="280" w:lineRule="exact"/>
              <w:jc w:val="center"/>
              <w:outlineLvl w:val="9"/>
              <w:rPr>
                <w:rFonts w:ascii="方正楷体_GBK" w:hAnsi="仿宋" w:eastAsia="方正楷体_GBK"/>
                <w:bCs/>
                <w:sz w:val="21"/>
                <w:szCs w:val="21"/>
                <w:highlight w:val="none"/>
              </w:rPr>
            </w:pPr>
            <w:r>
              <w:rPr>
                <w:rFonts w:hint="eastAsia" w:ascii="方正楷体_GBK" w:hAnsi="仿宋" w:eastAsia="方正楷体_GBK"/>
                <w:bCs/>
                <w:sz w:val="21"/>
                <w:szCs w:val="21"/>
                <w:highlight w:val="none"/>
              </w:rPr>
              <w:t>历史</w:t>
            </w:r>
          </w:p>
        </w:tc>
        <w:tc>
          <w:tcPr>
            <w:tcW w:w="61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val="0"/>
              <w:snapToGrid w:val="0"/>
              <w:spacing w:line="280" w:lineRule="exact"/>
              <w:ind w:firstLine="420" w:firstLineChars="200"/>
              <w:jc w:val="left"/>
              <w:textAlignment w:val="auto"/>
              <w:outlineLvl w:val="9"/>
              <w:rPr>
                <w:rFonts w:ascii="方正楷体_GBK" w:hAnsi="仿宋" w:eastAsia="方正楷体_GBK"/>
                <w:sz w:val="21"/>
                <w:szCs w:val="21"/>
                <w:highlight w:val="none"/>
              </w:rPr>
            </w:pPr>
            <w:r>
              <w:rPr>
                <w:rFonts w:hint="eastAsia" w:ascii="方正仿宋_GBK" w:hAnsi="方正仿宋_GBK" w:eastAsia="方正仿宋_GBK" w:cs="方正仿宋_GBK"/>
                <w:sz w:val="21"/>
                <w:szCs w:val="21"/>
              </w:rPr>
              <w:t>依据《中等职业学校历史课程标准》开设，通过学习学生能以唯物史观为指导，促进</w:t>
            </w:r>
            <w:r>
              <w:rPr>
                <w:rFonts w:ascii="方正仿宋_GBK" w:hAnsi="方正仿宋_GBK" w:eastAsia="方正仿宋_GBK" w:cs="方正仿宋_GBK"/>
                <w:sz w:val="21"/>
                <w:szCs w:val="21"/>
              </w:rPr>
              <w:t>中等职业学校学生进一步了解人类社会形态从低级到高级发展的基本 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w:t>
            </w:r>
            <w:r>
              <w:rPr>
                <w:rFonts w:hint="eastAsia" w:ascii="方正仿宋_GBK" w:hAnsi="方正仿宋_GBK" w:eastAsia="方正仿宋_GBK" w:cs="方正仿宋_GBK"/>
                <w:sz w:val="21"/>
                <w:szCs w:val="21"/>
              </w:rPr>
              <w:t>。</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72</w:t>
            </w:r>
          </w:p>
        </w:tc>
      </w:tr>
      <w:tr>
        <w:tblPrEx>
          <w:tblCellMar>
            <w:top w:w="0" w:type="dxa"/>
            <w:left w:w="108" w:type="dxa"/>
            <w:bottom w:w="0" w:type="dxa"/>
            <w:right w:w="108"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Cs/>
                <w:sz w:val="21"/>
                <w:szCs w:val="21"/>
                <w:highlight w:val="none"/>
              </w:rPr>
            </w:pPr>
            <w:r>
              <w:rPr>
                <w:rFonts w:hint="eastAsia" w:ascii="方正楷体_GBK" w:hAnsi="仿宋" w:eastAsia="方正楷体_GBK"/>
                <w:bCs/>
                <w:sz w:val="21"/>
                <w:szCs w:val="21"/>
                <w:highlight w:val="none"/>
              </w:rPr>
              <w:t>信息技术</w:t>
            </w:r>
          </w:p>
        </w:tc>
        <w:tc>
          <w:tcPr>
            <w:tcW w:w="61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spacing w:line="280" w:lineRule="exact"/>
              <w:ind w:firstLine="396"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pacing w:val="-6"/>
                <w:sz w:val="21"/>
                <w:szCs w:val="21"/>
              </w:rPr>
              <w:t>依据《中等职业学校信息技术课程标准》开设。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80</w:t>
            </w:r>
          </w:p>
        </w:tc>
      </w:tr>
      <w:tr>
        <w:tblPrEx>
          <w:tblCellMar>
            <w:top w:w="0" w:type="dxa"/>
            <w:left w:w="108" w:type="dxa"/>
            <w:bottom w:w="0" w:type="dxa"/>
            <w:right w:w="108"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11</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Cs/>
                <w:sz w:val="21"/>
                <w:szCs w:val="21"/>
                <w:highlight w:val="none"/>
              </w:rPr>
            </w:pPr>
            <w:r>
              <w:rPr>
                <w:rFonts w:hint="eastAsia" w:ascii="方正楷体_GBK" w:hAnsi="仿宋" w:eastAsia="方正楷体_GBK"/>
                <w:bCs/>
                <w:sz w:val="21"/>
                <w:szCs w:val="21"/>
                <w:highlight w:val="none"/>
              </w:rPr>
              <w:t>体育与健康</w:t>
            </w:r>
          </w:p>
        </w:tc>
        <w:tc>
          <w:tcPr>
            <w:tcW w:w="612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w:t>
            </w:r>
            <w:r>
              <w:rPr>
                <w:rFonts w:hint="eastAsia" w:ascii="方正仿宋_GBK" w:hAnsi="方正仿宋_GBK" w:eastAsia="方正仿宋_GBK" w:cs="方正仿宋_GBK"/>
                <w:color w:val="000000"/>
                <w:sz w:val="21"/>
                <w:szCs w:val="21"/>
                <w:lang w:bidi="ar"/>
              </w:rPr>
              <w:t>体育与健康</w:t>
            </w:r>
            <w:r>
              <w:rPr>
                <w:rFonts w:hint="eastAsia" w:ascii="方正仿宋_GBK" w:hAnsi="方正仿宋_GBK" w:eastAsia="方正仿宋_GBK" w:cs="方正仿宋_GBK"/>
                <w:sz w:val="21"/>
                <w:szCs w:val="21"/>
              </w:rPr>
              <w:t>课程标准》开设，通过学习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6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180</w:t>
            </w:r>
          </w:p>
        </w:tc>
      </w:tr>
    </w:tbl>
    <w:p>
      <w:pPr>
        <w:spacing w:line="460" w:lineRule="exact"/>
        <w:rPr>
          <w:rFonts w:hint="eastAsia" w:ascii="方正仿宋_GBK" w:eastAsia="方正仿宋_GBK"/>
          <w:bCs/>
          <w:sz w:val="28"/>
          <w:szCs w:val="28"/>
        </w:rPr>
      </w:pPr>
    </w:p>
    <w:p>
      <w:pPr>
        <w:spacing w:line="460" w:lineRule="exact"/>
        <w:ind w:firstLine="560" w:firstLineChars="200"/>
        <w:rPr>
          <w:rFonts w:hint="eastAsia" w:ascii="方正仿宋_GBK" w:eastAsia="方正仿宋_GBK"/>
          <w:bCs/>
          <w:sz w:val="28"/>
          <w:szCs w:val="28"/>
        </w:rPr>
      </w:pPr>
      <w:r>
        <w:rPr>
          <w:rFonts w:hint="eastAsia" w:ascii="方正仿宋_GBK" w:eastAsia="方正仿宋_GBK"/>
          <w:bCs/>
          <w:sz w:val="28"/>
          <w:szCs w:val="28"/>
        </w:rPr>
        <w:t xml:space="preserve"> </w:t>
      </w:r>
    </w:p>
    <w:p>
      <w:pPr>
        <w:spacing w:line="460" w:lineRule="exact"/>
        <w:ind w:firstLine="560" w:firstLineChars="200"/>
        <w:rPr>
          <w:rFonts w:hint="eastAsia" w:ascii="方正仿宋_GBK" w:eastAsia="方正仿宋_GBK"/>
          <w:bCs/>
          <w:sz w:val="28"/>
          <w:szCs w:val="28"/>
        </w:rPr>
      </w:pPr>
    </w:p>
    <w:p>
      <w:pPr>
        <w:spacing w:line="460" w:lineRule="exact"/>
        <w:ind w:firstLine="560" w:firstLineChars="200"/>
        <w:rPr>
          <w:rFonts w:hint="eastAsia" w:ascii="方正仿宋_GBK" w:eastAsia="方正仿宋_GBK"/>
          <w:bCs/>
          <w:sz w:val="28"/>
          <w:szCs w:val="28"/>
        </w:rPr>
      </w:pPr>
    </w:p>
    <w:p>
      <w:pPr>
        <w:spacing w:line="460" w:lineRule="exact"/>
        <w:ind w:firstLine="640" w:firstLineChars="200"/>
        <w:rPr>
          <w:rFonts w:hint="eastAsia" w:ascii="方正仿宋_GBK" w:eastAsia="方正仿宋_GBK"/>
          <w:bCs/>
          <w:sz w:val="28"/>
          <w:szCs w:val="28"/>
        </w:rPr>
      </w:pPr>
      <w:r>
        <w:rPr>
          <w:rFonts w:hint="eastAsia" w:ascii="方正仿宋_GBK" w:hAnsi="方正仿宋_GBK" w:eastAsia="方正仿宋_GBK" w:cs="方正仿宋_GBK"/>
          <w:sz w:val="32"/>
          <w:szCs w:val="32"/>
        </w:rPr>
        <w:t>(2)选修课程</w:t>
      </w:r>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587" w:type="dxa"/>
            <w:noWrap w:val="0"/>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课程名称</w:t>
            </w:r>
          </w:p>
        </w:tc>
        <w:tc>
          <w:tcPr>
            <w:tcW w:w="6123" w:type="dxa"/>
            <w:noWrap w:val="0"/>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主要教学内容和要求</w:t>
            </w:r>
          </w:p>
        </w:tc>
        <w:tc>
          <w:tcPr>
            <w:tcW w:w="680" w:type="dxa"/>
            <w:noWrap w:val="0"/>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参考</w:t>
            </w:r>
          </w:p>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87" w:type="dxa"/>
            <w:noWrap w:val="0"/>
            <w:vAlign w:val="center"/>
          </w:tcPr>
          <w:p>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lang w:bidi="ar"/>
              </w:rPr>
              <w:t>传统文化</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培养学生理解中华优秀传统文化的基本精神，了解中国传统哲学、文学、宗教等文化精髓和相关理论基础知识，并从优秀传统文化中扩大文化视野，理解传统的人文精神、伦理观念、审美情趣。</w:t>
            </w:r>
          </w:p>
        </w:tc>
        <w:tc>
          <w:tcPr>
            <w:tcW w:w="680" w:type="dxa"/>
            <w:noWrap w:val="0"/>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587" w:type="dxa"/>
            <w:noWrap w:val="0"/>
            <w:vAlign w:val="center"/>
          </w:tcPr>
          <w:p>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lang w:bidi="ar"/>
              </w:rPr>
              <w:t>安全教育</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培养学生社会安全责任感，使学生逐步形成安全意识，掌握必要的安全行为的知识和技能，了解相关的法律法规常识，养成日常生活和突发安全事件中正确应对的习惯。</w:t>
            </w:r>
          </w:p>
        </w:tc>
        <w:tc>
          <w:tcPr>
            <w:tcW w:w="680" w:type="dxa"/>
            <w:noWrap w:val="0"/>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587" w:type="dxa"/>
            <w:noWrap w:val="0"/>
            <w:vAlign w:val="center"/>
          </w:tcPr>
          <w:p>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劳动教育</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使学生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680" w:type="dxa"/>
            <w:noWrap w:val="0"/>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587" w:type="dxa"/>
            <w:noWrap w:val="0"/>
            <w:vAlign w:val="center"/>
          </w:tcPr>
          <w:p>
            <w:pPr>
              <w:widowControl/>
              <w:jc w:val="center"/>
              <w:textAlignment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color w:val="000000"/>
                <w:kern w:val="0"/>
                <w:sz w:val="20"/>
                <w:lang w:val="en-US" w:eastAsia="zh-CN" w:bidi="ar"/>
              </w:rPr>
              <w:t>职业素养</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培养学生爱岗敬业的职业精神、精益求精的品质精神、协作共进的团队精神、追求卓越的创新精神。</w:t>
            </w:r>
          </w:p>
        </w:tc>
        <w:tc>
          <w:tcPr>
            <w:tcW w:w="680" w:type="dxa"/>
            <w:noWrap w:val="0"/>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1587" w:type="dxa"/>
            <w:noWrap w:val="0"/>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20"/>
                <w:lang w:bidi="ar"/>
              </w:rPr>
              <w:t>创新创业教育</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rPr>
              <w:t>培养学生创新思维，会运用创新思维解决学习生活中的各类问题；锻炼创业能力等，掌握创业项目选择的方法，不断提高自身素质，引导完成从学生到社会人的角色转换并合理进行个人职业发展；就业准备。</w:t>
            </w:r>
          </w:p>
        </w:tc>
        <w:tc>
          <w:tcPr>
            <w:tcW w:w="680" w:type="dxa"/>
            <w:noWrap w:val="0"/>
            <w:vAlign w:val="center"/>
          </w:tcPr>
          <w:p>
            <w:pPr>
              <w:spacing w:line="30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rPr>
              <w:t>18</w:t>
            </w:r>
          </w:p>
        </w:tc>
      </w:tr>
    </w:tbl>
    <w:p>
      <w:pPr>
        <w:widowControl/>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2.专业(技能)课程</w:t>
      </w:r>
    </w:p>
    <w:p>
      <w:pPr>
        <w:widowControl/>
        <w:spacing w:line="52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专业核心课</w:t>
      </w:r>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80" w:type="dxa"/>
            <w:noWrap w:val="0"/>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1587" w:type="dxa"/>
            <w:noWrap w:val="0"/>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课程名称</w:t>
            </w:r>
          </w:p>
        </w:tc>
        <w:tc>
          <w:tcPr>
            <w:tcW w:w="6123" w:type="dxa"/>
            <w:noWrap w:val="0"/>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主要教学内容和要求</w:t>
            </w:r>
          </w:p>
        </w:tc>
        <w:tc>
          <w:tcPr>
            <w:tcW w:w="680" w:type="dxa"/>
            <w:noWrap w:val="0"/>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参考</w:t>
            </w:r>
          </w:p>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1587" w:type="dxa"/>
            <w:noWrap w:val="0"/>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学前儿童卫生与保健</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eastAsia="zh-CN"/>
              </w:rPr>
              <w:t>主要教学内容：学前儿童解剖生理特点、生长发育规律及健康评价；学前儿童常见疾病及心理卫生问题的基础知识；基本急救措施及教育对策。</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教学要求：通过学习与训练，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c>
          <w:tcPr>
            <w:tcW w:w="680" w:type="dxa"/>
            <w:noWrap w:val="0"/>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1587" w:type="dxa"/>
            <w:noWrap w:val="0"/>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学前儿童发展心理</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主要教学内容：学前儿童认知、情绪和情感、社会化、个性和心理健康等方面发展规律和各年龄阶段发展的特征</w:t>
            </w:r>
            <w:r>
              <w:rPr>
                <w:rFonts w:hint="eastAsia" w:ascii="方正仿宋_GBK" w:hAnsi="方正仿宋_GBK" w:eastAsia="方正仿宋_GBK" w:cs="方正仿宋_GBK"/>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学前儿童认知、情绪和情感、社会化、个性和心理健康等方面发展规律和各年龄阶段发展的特征；了解儿童发展差异形成的原因，初步掌握指导幼儿学习的主要方式和特点；学会观察与解释幼儿的行为，能够正确判断、解释和说明有关心理现象和问题，解决一般的幼儿心理问题</w:t>
            </w:r>
            <w:r>
              <w:rPr>
                <w:rFonts w:hint="eastAsia" w:ascii="方正仿宋_GBK" w:hAnsi="方正仿宋_GBK" w:eastAsia="方正仿宋_GBK" w:cs="方正仿宋_GBK"/>
                <w:szCs w:val="24"/>
                <w:lang w:eastAsia="zh-CN"/>
              </w:rPr>
              <w:t>。</w:t>
            </w:r>
          </w:p>
        </w:tc>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1587" w:type="dxa"/>
            <w:noWrap w:val="0"/>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学前教育学基础</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主要教学内容：学前教育基础知识和幼儿教育的一般原理</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幼儿体育、智育、德育、美育的内容</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幼儿园教学、游戏、日常生活、幼小衔接等知识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学前教育基础知识和幼儿教育的一般原理，了解幼儿体育、智育、德育、美育的内容，幼儿园教学、游戏、日常生活、幼小衔接等知识。会正确运用幼儿园教育的基本方法与技能解释、解决常见的幼儿教育问题</w:t>
            </w:r>
            <w:r>
              <w:rPr>
                <w:rFonts w:hint="eastAsia" w:ascii="方正仿宋_GBK" w:hAnsi="方正仿宋_GBK" w:eastAsia="方正仿宋_GBK" w:cs="方正仿宋_GBK"/>
                <w:szCs w:val="24"/>
                <w:lang w:eastAsia="zh-CN"/>
              </w:rPr>
              <w:t>。</w:t>
            </w:r>
          </w:p>
        </w:tc>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w:t>
            </w:r>
          </w:p>
        </w:tc>
        <w:tc>
          <w:tcPr>
            <w:tcW w:w="1587" w:type="dxa"/>
            <w:noWrap w:val="0"/>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美术</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rPr>
            </w:pPr>
            <w:r>
              <w:rPr>
                <w:rFonts w:hint="eastAsia" w:ascii="方正仿宋_GBK" w:hAnsi="方正仿宋_GBK" w:eastAsia="方正仿宋_GBK" w:cs="方正仿宋_GBK"/>
                <w:szCs w:val="24"/>
              </w:rPr>
              <w:t>主要教学内容：图案、色彩、平面设计知识；基本绘画技能及简笔画，临摹，折纸、剪纸、泥工等各类手工技法</w:t>
            </w:r>
            <w:r>
              <w:rPr>
                <w:rFonts w:hint="default" w:ascii="方正仿宋_GBK" w:hAnsi="方正仿宋_GBK" w:eastAsia="方正仿宋_GBK" w:cs="方正仿宋_GBK"/>
                <w:szCs w:val="24"/>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default" w:ascii="方正仿宋_GBK" w:hAnsi="方正仿宋_GBK" w:eastAsia="方正仿宋_GBK" w:cs="方正仿宋_GBK"/>
                <w:szCs w:val="24"/>
              </w:rPr>
              <w:t>通过学习</w:t>
            </w:r>
            <w:r>
              <w:rPr>
                <w:rFonts w:hint="eastAsia" w:ascii="方正仿宋_GBK" w:hAnsi="方正仿宋_GBK" w:eastAsia="方正仿宋_GBK" w:cs="方正仿宋_GBK"/>
                <w:szCs w:val="24"/>
              </w:rPr>
              <w:t>掌握图案、色彩、平面设计知识；能用基本绘画技能及简笔画，创作幼儿园活动需要的美术作品和教学简笔画；能够初步指导幼儿绘画的创作；学会折纸、剪纸、泥工等各类手工技法，开展各类手工制作及简单玩教具的制作，能教会幼儿掌握一些基本的手工技能</w:t>
            </w:r>
            <w:r>
              <w:rPr>
                <w:rFonts w:hint="default" w:ascii="方正仿宋_GBK" w:hAnsi="方正仿宋_GBK" w:eastAsia="方正仿宋_GBK" w:cs="方正仿宋_GBK"/>
                <w:szCs w:val="24"/>
              </w:rPr>
              <w:t>。</w:t>
            </w:r>
          </w:p>
        </w:tc>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default" w:ascii="方正仿宋_GBK" w:hAnsi="方正仿宋_GBK" w:eastAsia="方正仿宋_GBK" w:cs="方正仿宋_GBK"/>
                <w:szCs w:val="21"/>
                <w:lang w:val="en-US" w:eastAsia="zh-CN"/>
              </w:rPr>
              <w:t>5</w:t>
            </w:r>
          </w:p>
        </w:tc>
        <w:tc>
          <w:tcPr>
            <w:tcW w:w="1587" w:type="dxa"/>
            <w:noWrap w:val="0"/>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音乐</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主要教学内容：音乐基础知识和歌唱的技能技巧</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rPr>
              <w:t>键盘乐器演奏的基础知识和基本技能</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rPr>
              <w:t>音乐欣赏</w:t>
            </w:r>
            <w:r>
              <w:rPr>
                <w:rFonts w:hint="eastAsia" w:ascii="方正仿宋_GBK" w:hAnsi="方正仿宋_GBK" w:eastAsia="方正仿宋_GBK" w:cs="方正仿宋_GBK"/>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掌握音乐基础知识和歌唱的技能技巧，能有表情地演唱不同风格的歌曲和幼儿歌曲；掌握键盘乐器演奏的基础知识和基本技能；能手口协调地边弹边唱幼儿歌曲，具备一定音乐欣赏能力</w:t>
            </w:r>
            <w:r>
              <w:rPr>
                <w:rFonts w:hint="eastAsia" w:ascii="方正仿宋_GBK" w:hAnsi="方正仿宋_GBK" w:eastAsia="方正仿宋_GBK" w:cs="方正仿宋_GBK"/>
                <w:szCs w:val="24"/>
                <w:lang w:eastAsia="zh-CN"/>
              </w:rPr>
              <w:t>。</w:t>
            </w:r>
          </w:p>
        </w:tc>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vAlign w:val="center"/>
          </w:tcPr>
          <w:p>
            <w:pPr>
              <w:spacing w:line="300" w:lineRule="exact"/>
              <w:jc w:val="center"/>
              <w:rPr>
                <w:rFonts w:hint="eastAsia" w:ascii="方正仿宋_GBK" w:hAnsi="方正仿宋_GBK" w:eastAsia="方正仿宋_GBK" w:cs="方正仿宋_GBK"/>
                <w:szCs w:val="21"/>
                <w:lang w:val="en-US" w:eastAsia="zh-CN"/>
              </w:rPr>
            </w:pPr>
            <w:r>
              <w:rPr>
                <w:rFonts w:hint="default" w:ascii="方正仿宋_GBK" w:hAnsi="方正仿宋_GBK" w:eastAsia="方正仿宋_GBK" w:cs="方正仿宋_GBK"/>
                <w:szCs w:val="21"/>
                <w:lang w:val="en-US" w:eastAsia="zh-CN"/>
              </w:rPr>
              <w:t>6</w:t>
            </w:r>
          </w:p>
        </w:tc>
        <w:tc>
          <w:tcPr>
            <w:tcW w:w="1587" w:type="dxa"/>
            <w:noWrap w:val="0"/>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舞蹈</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主要教学内容：民族舞蹈的基本步伐和动作组合、儿童舞的基本舞步和动作组合</w:t>
            </w:r>
            <w:r>
              <w:rPr>
                <w:rFonts w:hint="eastAsia" w:ascii="方正仿宋_GBK" w:hAnsi="方正仿宋_GBK" w:eastAsia="方正仿宋_GBK" w:cs="方正仿宋_GBK"/>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掌握我国几种主要民族舞蹈的基本步伐和动作组合、儿童舞的基本舞步和动作组合、幼儿模仿动作、幼儿表演舞和音乐游戏；了解幼儿舞蹈的特点，能够初步编排与指导幼儿舞蹈</w:t>
            </w:r>
            <w:r>
              <w:rPr>
                <w:rFonts w:hint="eastAsia" w:ascii="方正仿宋_GBK" w:hAnsi="方正仿宋_GBK" w:eastAsia="方正仿宋_GBK" w:cs="方正仿宋_GBK"/>
                <w:szCs w:val="24"/>
                <w:lang w:eastAsia="zh-CN"/>
              </w:rPr>
              <w:t>。</w:t>
            </w:r>
          </w:p>
        </w:tc>
        <w:tc>
          <w:tcPr>
            <w:tcW w:w="680" w:type="dxa"/>
            <w:noWrap w:val="0"/>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360</w:t>
            </w:r>
          </w:p>
        </w:tc>
      </w:tr>
    </w:tbl>
    <w:p>
      <w:pPr>
        <w:widowControl/>
        <w:spacing w:line="520" w:lineRule="exact"/>
        <w:ind w:firstLine="560" w:firstLineChars="200"/>
        <w:rPr>
          <w:rFonts w:hint="eastAsia" w:ascii="方正仿宋_GBK" w:hAnsi="方正仿宋_GBK" w:eastAsia="方正仿宋_GBK" w:cs="方正仿宋_GBK"/>
          <w:sz w:val="28"/>
          <w:szCs w:val="28"/>
        </w:rPr>
      </w:pPr>
    </w:p>
    <w:p>
      <w:pPr>
        <w:widowControl/>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专业方向</w:t>
      </w:r>
      <w:r>
        <w:rPr>
          <w:rFonts w:hint="eastAsia" w:ascii="方正仿宋_GBK" w:hAnsi="方正仿宋_GBK" w:eastAsia="方正仿宋_GBK" w:cs="方正仿宋_GBK"/>
          <w:sz w:val="28"/>
          <w:szCs w:val="28"/>
        </w:rPr>
        <w:t>课</w:t>
      </w:r>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课程名称</w:t>
            </w:r>
          </w:p>
        </w:tc>
        <w:tc>
          <w:tcPr>
            <w:tcW w:w="6123" w:type="dxa"/>
            <w:noWrap w:val="0"/>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主要教学内容和要求</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参考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1</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幼儿园科学教育活动设计</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主要教学内容：幼儿园科学领域活动的目标及主要内容、各年龄段科学领域教学活动方案设计。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教学要求：通过学习与训练，掌握幼儿园科学领域活动的目标和主要内容，能根据幼儿科学教育活动的组织方法、形式和特点设计幼儿园科学活动领域的教育活动方案，并能够组织实施科学小实验，数概念认识活动</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2</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幼儿园语言教育活动设计</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eastAsia="zh-CN"/>
              </w:rPr>
              <w:t>幼儿园</w:t>
            </w:r>
            <w:r>
              <w:rPr>
                <w:rFonts w:hint="eastAsia" w:ascii="方正仿宋_GBK" w:hAnsi="方正仿宋_GBK" w:eastAsia="方正仿宋_GBK" w:cs="方正仿宋_GBK"/>
                <w:szCs w:val="24"/>
                <w:lang w:val="en-US" w:eastAsia="zh-CN"/>
              </w:rPr>
              <w:t>语言</w:t>
            </w:r>
            <w:r>
              <w:rPr>
                <w:rFonts w:hint="eastAsia" w:ascii="方正仿宋_GBK" w:hAnsi="方正仿宋_GBK" w:eastAsia="方正仿宋_GBK" w:cs="方正仿宋_GBK"/>
                <w:szCs w:val="24"/>
                <w:lang w:eastAsia="zh-CN"/>
              </w:rPr>
              <w:t>领域活动的目标及主要内容</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lang w:eastAsia="zh-CN"/>
              </w:rPr>
              <w:t>各年龄段</w:t>
            </w:r>
            <w:r>
              <w:rPr>
                <w:rFonts w:hint="eastAsia" w:ascii="方正仿宋_GBK" w:hAnsi="方正仿宋_GBK" w:eastAsia="方正仿宋_GBK" w:cs="方正仿宋_GBK"/>
                <w:szCs w:val="24"/>
                <w:lang w:val="en-US" w:eastAsia="zh-CN"/>
              </w:rPr>
              <w:t>语言</w:t>
            </w:r>
            <w:r>
              <w:rPr>
                <w:rFonts w:hint="eastAsia" w:ascii="方正仿宋_GBK" w:hAnsi="方正仿宋_GBK" w:eastAsia="方正仿宋_GBK" w:cs="方正仿宋_GBK"/>
                <w:szCs w:val="24"/>
                <w:lang w:eastAsia="zh-CN"/>
              </w:rPr>
              <w:t>领域教学活动方案</w:t>
            </w:r>
            <w:r>
              <w:rPr>
                <w:rFonts w:hint="eastAsia" w:ascii="方正仿宋_GBK" w:hAnsi="方正仿宋_GBK" w:eastAsia="方正仿宋_GBK" w:cs="方正仿宋_GBK"/>
                <w:szCs w:val="24"/>
                <w:lang w:val="en-US" w:eastAsia="zh-CN"/>
              </w:rPr>
              <w:t>设计。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w:t>
            </w:r>
            <w:r>
              <w:rPr>
                <w:rFonts w:hint="eastAsia" w:ascii="方正仿宋_GBK" w:hAnsi="方正仿宋_GBK" w:eastAsia="方正仿宋_GBK" w:cs="方正仿宋_GBK"/>
                <w:szCs w:val="24"/>
                <w:lang w:val="en-US" w:eastAsia="zh-CN"/>
              </w:rPr>
              <w:t>学习与训练，掌握幼儿园语言领域活动目标及主要内容，能根据幼儿语言活动的形式、特点，正确运用组织方法，设计并实施各年龄段语言领域教育活动。能够对幼儿语言教育活动实施进行评价</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3</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幼儿园健康教育活动设计</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eastAsia="zh-CN"/>
              </w:rPr>
              <w:t>主要教学内容：幼儿园健康领域活动的目标及主要内容</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lang w:eastAsia="zh-CN"/>
              </w:rPr>
              <w:t>各年龄段健康领域教学活动方案</w:t>
            </w:r>
            <w:r>
              <w:rPr>
                <w:rFonts w:hint="eastAsia" w:ascii="方正仿宋_GBK" w:hAnsi="方正仿宋_GBK" w:eastAsia="方正仿宋_GBK" w:cs="方正仿宋_GBK"/>
                <w:szCs w:val="24"/>
                <w:lang w:val="en-US" w:eastAsia="zh-CN"/>
              </w:rPr>
              <w:t>设计。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教学要求：通过学习与训练，能够设计并实施各年龄段健康领域教学活动方案；并能对体育课、早操活动、户外体育活动实施指导。</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4</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幼儿园艺术教育活动设计</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eastAsia="zh-CN"/>
              </w:rPr>
              <w:t>主要教学内容：幼儿园艺术领域活动的目标和主要内容、幼儿园音乐、美术教育活动方案设计、组织方法</w:t>
            </w:r>
            <w:r>
              <w:rPr>
                <w:rFonts w:hint="eastAsia" w:ascii="方正仿宋_GBK" w:hAnsi="方正仿宋_GBK" w:eastAsia="方正仿宋_GBK" w:cs="方正仿宋_GBK"/>
                <w:szCs w:val="24"/>
                <w:lang w:val="en-US" w:eastAsia="zh-CN"/>
              </w:rPr>
              <w:t>和</w:t>
            </w:r>
            <w:r>
              <w:rPr>
                <w:rFonts w:hint="eastAsia" w:ascii="方正仿宋_GBK" w:hAnsi="方正仿宋_GBK" w:eastAsia="方正仿宋_GBK" w:cs="方正仿宋_GBK"/>
                <w:szCs w:val="24"/>
                <w:lang w:eastAsia="zh-CN"/>
              </w:rPr>
              <w:t>形式。</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教学要求：通过学习与训练，掌握幼儿园音乐、美术教育活动方案</w:t>
            </w:r>
            <w:r>
              <w:rPr>
                <w:rFonts w:hint="eastAsia" w:ascii="方正仿宋_GBK" w:hAnsi="方正仿宋_GBK" w:eastAsia="方正仿宋_GBK" w:cs="方正仿宋_GBK"/>
                <w:szCs w:val="24"/>
                <w:lang w:val="en-US" w:eastAsia="zh-CN"/>
              </w:rPr>
              <w:t>设计与组织方式</w:t>
            </w:r>
            <w:r>
              <w:rPr>
                <w:rFonts w:hint="eastAsia" w:ascii="方正仿宋_GBK" w:hAnsi="方正仿宋_GBK" w:eastAsia="方正仿宋_GBK" w:cs="方正仿宋_GBK"/>
                <w:szCs w:val="24"/>
                <w:lang w:eastAsia="zh-CN"/>
              </w:rPr>
              <w:t>，能根据幼儿艺术活动的目标，</w:t>
            </w:r>
            <w:r>
              <w:rPr>
                <w:rFonts w:hint="eastAsia" w:ascii="方正仿宋_GBK" w:hAnsi="方正仿宋_GBK" w:eastAsia="方正仿宋_GBK" w:cs="方正仿宋_GBK"/>
                <w:szCs w:val="24"/>
                <w:lang w:val="en-US" w:eastAsia="zh-CN"/>
              </w:rPr>
              <w:t>组织</w:t>
            </w:r>
            <w:r>
              <w:rPr>
                <w:rFonts w:hint="eastAsia" w:ascii="方正仿宋_GBK" w:hAnsi="方正仿宋_GBK" w:eastAsia="方正仿宋_GBK" w:cs="方正仿宋_GBK"/>
                <w:szCs w:val="24"/>
                <w:lang w:eastAsia="zh-CN"/>
              </w:rPr>
              <w:t>实施歌唱活动、韵律活动、绘画活动、手工制作活动、欣赏活动。</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5</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幼儿园玩教具设计与制作</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val="en-US" w:eastAsia="zh-CN"/>
              </w:rPr>
              <w:t>幼儿园玩教具的类型、种类、作用，设计的基本原则、幼儿园各领域活动玩教具制作的设计要点及制作方法</w:t>
            </w:r>
            <w:r>
              <w:rPr>
                <w:rFonts w:hint="eastAsia" w:ascii="方正仿宋_GBK" w:hAnsi="方正仿宋_GBK" w:eastAsia="方正仿宋_GBK" w:cs="方正仿宋_GBK"/>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eastAsia="zh-CN"/>
              </w:rPr>
              <w:t>教学要求：通过学习，</w:t>
            </w:r>
            <w:r>
              <w:rPr>
                <w:rFonts w:hint="eastAsia" w:ascii="方正仿宋_GBK" w:hAnsi="方正仿宋_GBK" w:eastAsia="方正仿宋_GBK" w:cs="方正仿宋_GBK"/>
                <w:szCs w:val="24"/>
              </w:rPr>
              <w:t>掌握</w:t>
            </w:r>
            <w:r>
              <w:rPr>
                <w:rFonts w:hint="eastAsia" w:ascii="方正仿宋_GBK" w:hAnsi="方正仿宋_GBK" w:eastAsia="方正仿宋_GBK" w:cs="方正仿宋_GBK"/>
                <w:szCs w:val="24"/>
                <w:lang w:val="en-US" w:eastAsia="zh-CN"/>
              </w:rPr>
              <w:t>幼儿园玩教具制作</w:t>
            </w:r>
            <w:r>
              <w:rPr>
                <w:rFonts w:hint="eastAsia" w:ascii="方正仿宋_GBK" w:hAnsi="方正仿宋_GBK" w:eastAsia="方正仿宋_GBK" w:cs="方正仿宋_GBK"/>
                <w:szCs w:val="24"/>
              </w:rPr>
              <w:t>的相关知识，</w:t>
            </w:r>
            <w:r>
              <w:rPr>
                <w:rFonts w:hint="eastAsia" w:ascii="方正仿宋_GBK" w:hAnsi="方正仿宋_GBK" w:eastAsia="方正仿宋_GBK" w:cs="方正仿宋_GBK"/>
                <w:szCs w:val="24"/>
                <w:lang w:val="en-US" w:eastAsia="zh-CN"/>
              </w:rPr>
              <w:t>能初步根据活动要求制作相应的玩教具，以配合幼儿园教师的教育教学工作</w:t>
            </w:r>
            <w:r>
              <w:rPr>
                <w:rFonts w:hint="eastAsia" w:ascii="方正仿宋_GBK" w:hAnsi="方正仿宋_GBK" w:eastAsia="方正仿宋_GBK" w:cs="方正仿宋_GBK"/>
                <w:szCs w:val="24"/>
                <w:lang w:eastAsia="zh-CN"/>
              </w:rPr>
              <w:t>。</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6</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幼儿园保育</w:t>
            </w:r>
          </w:p>
        </w:tc>
        <w:tc>
          <w:tcPr>
            <w:tcW w:w="6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 xml:space="preserve">主要教学内容：保育工作基本内容及要求、指导幼儿生活活动、物品及设备管理、安全工作。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教学要求：掌握幼儿园保育工作流程、内容及规范要求，能完成一日活动中的保育工作，在理解保教结合原则的基础上，配合教育活动开展健康指导，为幼儿健康成长服务。</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7</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default" w:ascii="方正仿宋_GBK" w:hAnsi="方正仿宋_GBK" w:eastAsia="方正仿宋_GBK" w:cs="方正仿宋_GBK"/>
                <w:szCs w:val="24"/>
                <w:lang w:val="en-US" w:eastAsia="zh-CN"/>
              </w:rPr>
              <w:t>幼儿照护</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eastAsia="zh-CN"/>
              </w:rPr>
              <w:t>幼儿卫生保健内容及护理方式，各领域教学活动设计与组织。</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通过学习与训练，学生能正确熟练的进行卫生保健工作，能对突发事件进行急救处理；能根据幼儿年龄特征进行各领域活动的设计与指导。并为考取</w:t>
            </w:r>
            <w:r>
              <w:rPr>
                <w:rFonts w:hint="default" w:ascii="方正仿宋_GBK" w:hAnsi="方正仿宋_GBK" w:eastAsia="方正仿宋_GBK" w:cs="方正仿宋_GBK"/>
                <w:szCs w:val="24"/>
                <w:lang w:val="en-US" w:eastAsia="zh-CN"/>
              </w:rPr>
              <w:t>1+X幼儿照护</w:t>
            </w:r>
            <w:r>
              <w:rPr>
                <w:rFonts w:hint="eastAsia" w:ascii="方正仿宋_GBK" w:hAnsi="方正仿宋_GBK" w:eastAsia="方正仿宋_GBK" w:cs="方正仿宋_GBK"/>
                <w:szCs w:val="24"/>
                <w:lang w:eastAsia="zh-CN"/>
              </w:rPr>
              <w:t>资格证做好准备。</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72</w:t>
            </w:r>
          </w:p>
        </w:tc>
      </w:tr>
    </w:tbl>
    <w:p>
      <w:pPr>
        <w:spacing w:line="460" w:lineRule="exact"/>
        <w:ind w:firstLine="560" w:firstLineChars="200"/>
        <w:rPr>
          <w:rFonts w:hint="eastAsia" w:ascii="方正仿宋_GBK" w:eastAsia="方正仿宋_GBK"/>
          <w:bCs/>
          <w:sz w:val="28"/>
          <w:szCs w:val="28"/>
        </w:rPr>
      </w:pPr>
      <w:r>
        <w:rPr>
          <w:rFonts w:hint="eastAsia" w:ascii="方正仿宋_GBK" w:eastAsia="方正仿宋_GBK"/>
          <w:bCs/>
          <w:sz w:val="28"/>
          <w:szCs w:val="28"/>
        </w:rPr>
        <w:t>(</w:t>
      </w:r>
      <w:r>
        <w:rPr>
          <w:rFonts w:hint="eastAsia" w:ascii="方正仿宋_GBK" w:eastAsia="方正仿宋_GBK"/>
          <w:bCs/>
          <w:sz w:val="28"/>
          <w:szCs w:val="28"/>
          <w:lang w:val="en-US" w:eastAsia="zh-CN"/>
        </w:rPr>
        <w:t>3</w:t>
      </w:r>
      <w:r>
        <w:rPr>
          <w:rFonts w:hint="eastAsia" w:ascii="方正仿宋_GBK" w:eastAsia="方正仿宋_GBK"/>
          <w:bCs/>
          <w:sz w:val="28"/>
          <w:szCs w:val="28"/>
        </w:rPr>
        <w:t>)</w:t>
      </w:r>
      <w:r>
        <w:rPr>
          <w:rFonts w:hint="eastAsia" w:ascii="方正仿宋_GBK" w:eastAsia="方正仿宋_GBK"/>
          <w:bCs/>
          <w:sz w:val="28"/>
          <w:szCs w:val="28"/>
          <w:lang w:val="en-US" w:eastAsia="zh-CN"/>
        </w:rPr>
        <w:t>专业选修</w:t>
      </w:r>
      <w:r>
        <w:rPr>
          <w:rFonts w:hint="eastAsia" w:ascii="方正仿宋_GBK" w:eastAsia="方正仿宋_GBK"/>
          <w:bCs/>
          <w:sz w:val="28"/>
          <w:szCs w:val="28"/>
        </w:rPr>
        <w:t>课</w:t>
      </w:r>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课程名称</w:t>
            </w:r>
          </w:p>
        </w:tc>
        <w:tc>
          <w:tcPr>
            <w:tcW w:w="6123" w:type="dxa"/>
            <w:noWrap w:val="0"/>
            <w:vAlign w:val="center"/>
          </w:tcPr>
          <w:p>
            <w:pPr>
              <w:spacing w:line="32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主要教学内容和要求</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参考</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普通话</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主要教学内容：普通话基本理论和发音要领</w:t>
            </w:r>
            <w:r>
              <w:rPr>
                <w:rFonts w:hint="eastAsia" w:ascii="方正仿宋_GBK" w:hAnsi="方正仿宋_GBK" w:eastAsia="方正仿宋_GBK" w:cs="方正仿宋_GBK"/>
                <w:szCs w:val="24"/>
                <w:lang w:eastAsia="zh-CN"/>
              </w:rPr>
              <w:t>等基础知识，演讲及口语交际技巧。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掌握普通话基本理论和发音要领；具备较强的方音辨别能力和自我语音辨证能力；能用普通话朗读、说话、演讲及口语交际；理解并熟悉</w:t>
            </w:r>
            <w:r>
              <w:rPr>
                <w:rFonts w:hint="eastAsia" w:ascii="方正仿宋_GBK" w:hAnsi="方正仿宋_GBK" w:eastAsia="方正仿宋_GBK" w:cs="方正仿宋_GBK"/>
                <w:szCs w:val="24"/>
                <w:lang w:eastAsia="zh-CN"/>
              </w:rPr>
              <w:t>教学</w:t>
            </w:r>
            <w:r>
              <w:rPr>
                <w:rFonts w:hint="eastAsia" w:ascii="方正仿宋_GBK" w:hAnsi="方正仿宋_GBK" w:eastAsia="方正仿宋_GBK" w:cs="方正仿宋_GBK"/>
                <w:szCs w:val="24"/>
              </w:rPr>
              <w:t>中</w:t>
            </w:r>
            <w:r>
              <w:rPr>
                <w:rFonts w:hint="eastAsia" w:ascii="方正仿宋_GBK" w:hAnsi="方正仿宋_GBK" w:eastAsia="方正仿宋_GBK" w:cs="方正仿宋_GBK"/>
                <w:szCs w:val="24"/>
                <w:lang w:eastAsia="zh-CN"/>
              </w:rPr>
              <w:t>教学</w:t>
            </w:r>
            <w:r>
              <w:rPr>
                <w:rFonts w:hint="eastAsia" w:ascii="方正仿宋_GBK" w:hAnsi="方正仿宋_GBK" w:eastAsia="方正仿宋_GBK" w:cs="方正仿宋_GBK"/>
                <w:szCs w:val="24"/>
              </w:rPr>
              <w:t>人员语言的基本要求。</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2</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幼儿园游戏</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主要教学内容：幼儿游戏的基本理论</w:t>
            </w:r>
            <w:r>
              <w:rPr>
                <w:rFonts w:hint="eastAsia" w:ascii="方正仿宋_GBK" w:hAnsi="方正仿宋_GBK" w:eastAsia="方正仿宋_GBK" w:cs="方正仿宋_GBK"/>
                <w:szCs w:val="24"/>
                <w:lang w:eastAsia="zh-CN"/>
              </w:rPr>
              <w:t>；幼儿游戏分类及指导，幼儿游戏评价。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了解幼儿游戏的基本理论；能够创设幼儿游戏环境、组织游戏、进行观察与评价，能对多种幼儿游戏进行分类指导；能根据幼儿园活动区的需求，及时投放玩具和活动材料</w:t>
            </w:r>
            <w:r>
              <w:rPr>
                <w:rFonts w:hint="eastAsia" w:ascii="方正仿宋_GBK" w:hAnsi="方正仿宋_GBK" w:eastAsia="方正仿宋_GBK" w:cs="方正仿宋_GBK"/>
                <w:szCs w:val="24"/>
                <w:lang w:eastAsia="zh-CN"/>
              </w:rPr>
              <w:t>。</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3</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幼儿园一日生活指导</w:t>
            </w:r>
          </w:p>
        </w:tc>
        <w:tc>
          <w:tcPr>
            <w:tcW w:w="6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val="en-US" w:eastAsia="zh-CN"/>
              </w:rPr>
              <w:t>幼儿一日活动环节；幼儿园日常活动、游戏活动、教学活动、运动活动指导。</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val="en-US" w:eastAsia="zh-CN"/>
              </w:rPr>
              <w:t>掌握幼儿一日活动各环节，将教育灵活地渗透到一日生活中；组织并指导幼儿园日常活动、游戏活动、教学活动、运动活动的开展。</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36</w:t>
            </w:r>
          </w:p>
        </w:tc>
      </w:tr>
    </w:tbl>
    <w:p>
      <w:pPr>
        <w:spacing w:line="460" w:lineRule="exact"/>
        <w:ind w:firstLine="560" w:firstLineChars="200"/>
        <w:rPr>
          <w:rFonts w:hint="eastAsia" w:ascii="方正仿宋_GBK" w:eastAsia="方正仿宋_GBK"/>
          <w:bCs/>
          <w:color w:val="auto"/>
          <w:sz w:val="28"/>
          <w:szCs w:val="28"/>
        </w:rPr>
      </w:pPr>
      <w:r>
        <w:rPr>
          <w:rFonts w:hint="eastAsia" w:ascii="方正仿宋_GBK" w:eastAsia="方正仿宋_GBK"/>
          <w:bCs/>
          <w:color w:val="auto"/>
          <w:sz w:val="28"/>
          <w:szCs w:val="28"/>
        </w:rPr>
        <w:t>（4）</w:t>
      </w:r>
      <w:r>
        <w:rPr>
          <w:rFonts w:hint="eastAsia" w:ascii="方正仿宋_GBK" w:eastAsia="方正仿宋_GBK"/>
          <w:bCs/>
          <w:color w:val="auto"/>
          <w:sz w:val="28"/>
          <w:szCs w:val="28"/>
          <w:lang w:val="en-US" w:eastAsia="zh-CN"/>
        </w:rPr>
        <w:t>教学</w:t>
      </w:r>
      <w:r>
        <w:rPr>
          <w:rFonts w:hint="eastAsia" w:ascii="方正仿宋_GBK" w:eastAsia="方正仿宋_GBK"/>
          <w:bCs/>
          <w:color w:val="auto"/>
          <w:sz w:val="28"/>
          <w:szCs w:val="28"/>
        </w:rPr>
        <w:t>实习课</w:t>
      </w:r>
    </w:p>
    <w:p>
      <w:pPr>
        <w:spacing w:line="460" w:lineRule="exact"/>
        <w:ind w:firstLine="560" w:firstLineChars="200"/>
        <w:rPr>
          <w:rFonts w:hint="eastAsia" w:ascii="方正仿宋_GBK" w:eastAsia="方正仿宋_GBK"/>
          <w:bCs/>
          <w:color w:val="auto"/>
          <w:sz w:val="28"/>
          <w:szCs w:val="28"/>
        </w:rPr>
      </w:pPr>
      <w:r>
        <w:rPr>
          <w:rFonts w:hint="eastAsia" w:ascii="方正仿宋_GBK" w:eastAsia="方正仿宋_GBK"/>
          <w:bCs/>
          <w:color w:val="auto"/>
          <w:sz w:val="28"/>
          <w:szCs w:val="28"/>
        </w:rPr>
        <w:t>按国家要求，结合教学需要，组织好跟岗实习和顶岗实习。跟岗实习：第二学年，一周，幼儿园跟岗实习；顶岗实习：第三学年，十五周，幼儿机构顶岗实习。</w:t>
      </w:r>
    </w:p>
    <w:p>
      <w:pPr>
        <w:spacing w:line="460" w:lineRule="exact"/>
        <w:ind w:firstLine="560" w:firstLineChars="200"/>
        <w:rPr>
          <w:rFonts w:hint="default" w:ascii="方正仿宋_GBK" w:eastAsia="方正仿宋_GBK"/>
          <w:bCs/>
          <w:color w:val="auto"/>
          <w:sz w:val="28"/>
          <w:szCs w:val="28"/>
          <w:lang w:val="en-US" w:eastAsia="zh-CN"/>
        </w:rPr>
      </w:pPr>
      <w:r>
        <w:rPr>
          <w:rFonts w:hint="eastAsia" w:ascii="方正仿宋_GBK" w:eastAsia="方正仿宋_GBK"/>
          <w:bCs/>
          <w:color w:val="auto"/>
          <w:sz w:val="28"/>
          <w:szCs w:val="28"/>
        </w:rPr>
        <w:t>①</w:t>
      </w:r>
      <w:r>
        <w:rPr>
          <w:rFonts w:hint="eastAsia" w:ascii="方正仿宋_GBK" w:eastAsia="方正仿宋_GBK"/>
          <w:bCs/>
          <w:color w:val="auto"/>
          <w:sz w:val="28"/>
          <w:szCs w:val="28"/>
          <w:lang w:val="en-US" w:eastAsia="zh-CN"/>
        </w:rPr>
        <w:t>跟岗实习</w:t>
      </w:r>
    </w:p>
    <w:p>
      <w:pPr>
        <w:spacing w:line="460" w:lineRule="exact"/>
        <w:ind w:firstLine="560" w:firstLineChars="200"/>
        <w:rPr>
          <w:rFonts w:hint="eastAsia" w:ascii="方正仿宋_GBK" w:eastAsia="方正仿宋_GBK"/>
          <w:bCs/>
          <w:color w:val="auto"/>
          <w:sz w:val="28"/>
          <w:szCs w:val="28"/>
        </w:rPr>
      </w:pPr>
      <w:r>
        <w:rPr>
          <w:rFonts w:hint="eastAsia" w:ascii="方正仿宋_GBK" w:eastAsia="方正仿宋_GBK"/>
          <w:bCs/>
          <w:color w:val="auto"/>
          <w:sz w:val="28"/>
          <w:szCs w:val="28"/>
        </w:rPr>
        <w:t>跟岗实习是指不具有独立操作能力、不能完全适应实习岗位要求的学生，由职业学校组织到实习单位的相应岗位，在专业人员指导下部分参与实际辅助工作的活动。跟岗实习是职业学校教学内容</w:t>
      </w:r>
      <w:r>
        <w:rPr>
          <w:rFonts w:hint="eastAsia" w:ascii="方正仿宋_GBK" w:eastAsia="方正仿宋_GBK"/>
          <w:bCs/>
          <w:color w:val="auto"/>
          <w:sz w:val="28"/>
          <w:szCs w:val="28"/>
          <w:lang w:val="en-US" w:eastAsia="zh-CN"/>
        </w:rPr>
        <w:t>不可或缺</w:t>
      </w:r>
      <w:r>
        <w:rPr>
          <w:rFonts w:hint="eastAsia" w:ascii="方正仿宋_GBK" w:eastAsia="方正仿宋_GBK"/>
          <w:bCs/>
          <w:color w:val="auto"/>
          <w:sz w:val="28"/>
          <w:szCs w:val="28"/>
        </w:rPr>
        <w:t>的一部分。主要任务是通过到实习单位的相应岗位了解早教中心、幼儿园的保育工作，增强学生的专业认同感和职业意识；学习并运用幼儿卫生与健康知识，实际体验保育工作岗位任务，熟悉保育工作流程及规范；学习、观摩早教、幼儿园教育活动，进一步了解学习领域目标、内容及要求，模拟教育活动或进行实操训练，提高学生的职业素养与综合能力。</w:t>
      </w:r>
    </w:p>
    <w:p>
      <w:pPr>
        <w:spacing w:line="460" w:lineRule="exact"/>
        <w:ind w:firstLine="560" w:firstLineChars="200"/>
        <w:rPr>
          <w:rFonts w:hint="eastAsia" w:ascii="方正仿宋_GBK" w:eastAsia="方正仿宋_GBK"/>
          <w:bCs/>
          <w:color w:val="auto"/>
          <w:sz w:val="28"/>
          <w:szCs w:val="28"/>
        </w:rPr>
      </w:pPr>
      <w:r>
        <w:rPr>
          <w:rFonts w:hint="eastAsia" w:ascii="方正仿宋_GBK" w:eastAsia="方正仿宋_GBK"/>
          <w:bCs/>
          <w:color w:val="auto"/>
          <w:sz w:val="28"/>
          <w:szCs w:val="28"/>
        </w:rPr>
        <w:t>②顶岗实习</w:t>
      </w:r>
    </w:p>
    <w:p>
      <w:pPr>
        <w:spacing w:line="460" w:lineRule="exact"/>
        <w:ind w:firstLine="560" w:firstLineChars="200"/>
        <w:rPr>
          <w:rFonts w:hint="eastAsia" w:ascii="方正仿宋_GBK" w:eastAsia="方正仿宋_GBK"/>
          <w:bCs/>
          <w:color w:val="auto"/>
          <w:sz w:val="28"/>
          <w:szCs w:val="28"/>
        </w:rPr>
      </w:pPr>
      <w:r>
        <w:rPr>
          <w:rFonts w:hint="eastAsia" w:ascii="方正仿宋_GBK" w:eastAsia="方正仿宋_GBK"/>
          <w:bCs/>
          <w:color w:val="auto"/>
          <w:sz w:val="28"/>
          <w:szCs w:val="28"/>
        </w:rPr>
        <w:t>顶岗实习是本专业最后的实践性教学环节。通过顶岗实习，使学生更好地将理论与实践相结合，全面巩固、锻炼实践操作技能，为就业打下坚实基础。顶岗实习的主要任务是让学生熟悉幼儿保育工作的性质和职责，进一步掌握保育工作的基本内容和特点；通过实习幼儿保育的全部工作，培养学生组织幼儿一日活动及幼儿游戏活动的辅教能力，学习幼儿保育工作者的优秀品质和敬业精神，增强适应岗位的能力。</w:t>
      </w:r>
    </w:p>
    <w:p>
      <w:pPr>
        <w:pStyle w:val="2"/>
        <w:spacing w:before="0" w:beforeAutospacing="0" w:after="0" w:afterAutospacing="0" w:line="520" w:lineRule="exact"/>
        <w:ind w:firstLine="640" w:firstLineChars="200"/>
        <w:rPr>
          <w:rFonts w:ascii="方正黑体_GBK" w:eastAsia="方正黑体_GBK"/>
          <w:sz w:val="32"/>
          <w:szCs w:val="32"/>
        </w:rPr>
      </w:pPr>
      <w:bookmarkStart w:id="13" w:name="_Toc26924"/>
      <w:r>
        <w:rPr>
          <w:rFonts w:ascii="方正黑体_GBK" w:eastAsia="方正黑体_GBK"/>
          <w:sz w:val="32"/>
          <w:szCs w:val="32"/>
        </w:rPr>
        <w:t>七、教学进程总体安排</w:t>
      </w:r>
      <w:bookmarkEnd w:id="13"/>
    </w:p>
    <w:p>
      <w:pPr>
        <w:pStyle w:val="3"/>
        <w:spacing w:before="0" w:after="0" w:line="520" w:lineRule="exact"/>
        <w:ind w:firstLine="643" w:firstLineChars="200"/>
        <w:rPr>
          <w:rFonts w:hint="eastAsia" w:ascii="方正楷体_GBK" w:eastAsia="方正楷体_GBK"/>
          <w:lang w:val="en-US" w:eastAsia="zh-CN"/>
        </w:rPr>
      </w:pPr>
      <w:bookmarkStart w:id="14" w:name="_Toc32689"/>
      <w:r>
        <w:rPr>
          <w:rFonts w:hint="eastAsia" w:ascii="方正楷体_GBK" w:eastAsia="方正楷体_GBK"/>
        </w:rPr>
        <w:t>(一)学时</w:t>
      </w:r>
      <w:bookmarkEnd w:id="14"/>
      <w:r>
        <w:rPr>
          <w:rFonts w:hint="eastAsia" w:ascii="方正楷体_GBK" w:eastAsia="方正楷体_GBK"/>
          <w:lang w:val="en-US" w:eastAsia="zh-CN"/>
        </w:rPr>
        <w:t>分配</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本专业总课时3528学时，必修课时</w:t>
      </w:r>
      <w:r>
        <w:rPr>
          <w:rFonts w:hint="eastAsia" w:ascii="方正仿宋_GBK" w:hAnsi="方正仿宋_GBK" w:eastAsia="方正仿宋_GBK" w:cs="方正仿宋_GBK"/>
          <w:sz w:val="28"/>
          <w:szCs w:val="28"/>
          <w:lang w:val="en-US" w:eastAsia="zh-CN"/>
        </w:rPr>
        <w:t>3294</w:t>
      </w:r>
      <w:r>
        <w:rPr>
          <w:rFonts w:hint="eastAsia" w:ascii="方正仿宋_GBK" w:hAnsi="方正仿宋_GBK" w:eastAsia="方正仿宋_GBK" w:cs="方正仿宋_GBK"/>
          <w:sz w:val="28"/>
          <w:szCs w:val="28"/>
        </w:rPr>
        <w:t>学时，选修课时234学时，选修课占总学时的6.63%。公共基础课1368学时，占总学时的 38.8%，其中，公共必修课1278学时，公共选修课90学时。专业技能课</w:t>
      </w:r>
      <w:r>
        <w:rPr>
          <w:rFonts w:hint="eastAsia" w:ascii="方正仿宋_GBK" w:hAnsi="方正仿宋_GBK" w:eastAsia="方正仿宋_GBK" w:cs="方正仿宋_GBK"/>
          <w:sz w:val="28"/>
          <w:szCs w:val="28"/>
          <w:lang w:val="en-US" w:eastAsia="zh-CN"/>
        </w:rPr>
        <w:t>2160</w:t>
      </w:r>
      <w:r>
        <w:rPr>
          <w:rFonts w:hint="eastAsia" w:ascii="方正仿宋_GBK" w:hAnsi="方正仿宋_GBK" w:eastAsia="方正仿宋_GBK" w:cs="方正仿宋_GBK"/>
          <w:sz w:val="28"/>
          <w:szCs w:val="28"/>
        </w:rPr>
        <w:t>学时，其中专业必修课1566学时，专业选修课144学时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教学</w:t>
      </w:r>
      <w:r>
        <w:rPr>
          <w:rFonts w:hint="eastAsia" w:ascii="方正仿宋_GBK" w:hAnsi="方正仿宋_GBK" w:eastAsia="方正仿宋_GBK" w:cs="方正仿宋_GBK"/>
          <w:sz w:val="28"/>
          <w:szCs w:val="28"/>
        </w:rPr>
        <w:t>实习450学时。</w:t>
      </w:r>
    </w:p>
    <w:p>
      <w:pPr>
        <w:pStyle w:val="3"/>
        <w:numPr>
          <w:ilvl w:val="0"/>
          <w:numId w:val="0"/>
        </w:numPr>
        <w:spacing w:before="0" w:after="0" w:line="520" w:lineRule="exact"/>
        <w:ind w:firstLine="643" w:firstLineChars="200"/>
        <w:rPr>
          <w:rFonts w:hint="eastAsia" w:ascii="方正楷体_GBK" w:hAnsi="Arial" w:eastAsia="方正楷体_GBK" w:cs="Times New Roman"/>
          <w:lang w:val="zh-CN"/>
        </w:rPr>
      </w:pPr>
      <w:bookmarkStart w:id="15" w:name="_Toc4258"/>
      <w:r>
        <w:rPr>
          <w:rFonts w:hint="eastAsia" w:ascii="方正楷体_GBK" w:eastAsia="方正楷体_GBK"/>
        </w:rPr>
        <w:t>(</w:t>
      </w:r>
      <w:r>
        <w:rPr>
          <w:rFonts w:hint="eastAsia" w:ascii="方正楷体_GBK" w:eastAsia="方正楷体_GBK"/>
          <w:lang w:val="en-US" w:eastAsia="zh-CN"/>
        </w:rPr>
        <w:t>二</w:t>
      </w:r>
      <w:r>
        <w:rPr>
          <w:rFonts w:hint="eastAsia" w:ascii="方正楷体_GBK" w:eastAsia="方正楷体_GBK"/>
        </w:rPr>
        <w:t>)</w:t>
      </w:r>
      <w:r>
        <w:rPr>
          <w:rFonts w:hint="eastAsia" w:ascii="方正楷体_GBK" w:hAnsi="Arial" w:eastAsia="方正楷体_GBK" w:cs="Times New Roman"/>
          <w:lang w:val="zh-CN"/>
        </w:rPr>
        <w:t>教学安排</w:t>
      </w:r>
      <w:bookmarkEnd w:id="15"/>
    </w:p>
    <w:tbl>
      <w:tblPr>
        <w:tblStyle w:val="12"/>
        <w:tblpPr w:leftFromText="180" w:rightFromText="180" w:vertAnchor="text" w:horzAnchor="page" w:tblpX="1812" w:tblpY="588"/>
        <w:tblOverlap w:val="never"/>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9"/>
        <w:gridCol w:w="340"/>
        <w:gridCol w:w="567"/>
        <w:gridCol w:w="2209"/>
        <w:gridCol w:w="624"/>
        <w:gridCol w:w="624"/>
        <w:gridCol w:w="624"/>
        <w:gridCol w:w="624"/>
        <w:gridCol w:w="624"/>
        <w:gridCol w:w="624"/>
        <w:gridCol w:w="624"/>
        <w:gridCol w:w="624"/>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9"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课程类别</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序号</w:t>
            </w:r>
          </w:p>
        </w:tc>
        <w:tc>
          <w:tcPr>
            <w:tcW w:w="220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课程名称</w:t>
            </w:r>
          </w:p>
        </w:tc>
        <w:tc>
          <w:tcPr>
            <w:tcW w:w="624"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学分</w:t>
            </w:r>
          </w:p>
        </w:tc>
        <w:tc>
          <w:tcPr>
            <w:tcW w:w="624"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总学时</w:t>
            </w:r>
          </w:p>
        </w:tc>
        <w:tc>
          <w:tcPr>
            <w:tcW w:w="3744"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各学期周数、学时分配</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9"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220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6</w:t>
            </w:r>
          </w:p>
        </w:tc>
        <w:tc>
          <w:tcPr>
            <w:tcW w:w="624" w:type="dxa"/>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9"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220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3周</w:t>
            </w:r>
          </w:p>
        </w:tc>
        <w:tc>
          <w:tcPr>
            <w:tcW w:w="624"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公共基础课</w:t>
            </w: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必修课</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中国特色社会主义</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心理健康与职业生涯</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哲学与人生</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职业道德与法治</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5</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习近平新时代中国特色社会主义思想</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语文</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216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数学</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252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8</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英语</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216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9</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信息技术</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80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历史</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sz w:val="20"/>
                <w:szCs w:val="20"/>
                <w:u w:val="none"/>
                <w:shd w:val="clear" w:color="auto" w:fill="auto"/>
                <w:lang w:val="en-US" w:eastAsia="zh-CN"/>
              </w:rPr>
            </w:pPr>
            <w:r>
              <w:rPr>
                <w:rFonts w:hint="eastAsia" w:ascii="方正仿宋_GBK" w:hAnsi="方正仿宋_GBK" w:eastAsia="方正仿宋_GBK" w:cs="方正仿宋_GBK"/>
                <w:i w:val="0"/>
                <w:iCs w:val="0"/>
                <w:color w:val="auto"/>
                <w:sz w:val="20"/>
                <w:szCs w:val="20"/>
                <w:u w:val="none"/>
                <w:shd w:val="clear" w:color="auto" w:fill="auto"/>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11</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体育与健康</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选修课</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12</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传统文化</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13</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安全教育</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14</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劳动教育</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职业素养</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16</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创新创业教育</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11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小计</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1368</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专业技能课</w:t>
            </w: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核心课</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17</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学前儿童卫生与保健</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学前儿童发展心理</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108</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学前教育学基础</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108</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20</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美术</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288</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21</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舞蹈</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22</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音乐</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方向课</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23</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幼儿园科学教育活动设计与指导</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24</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幼儿园语言教育活动设计与指导</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25</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幼儿园健康教育活动设计与指导</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26</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幼儿园艺术教育活动设计与指导</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27</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18"/>
                <w:szCs w:val="18"/>
                <w:u w:val="none"/>
                <w:shd w:val="clear" w:color="auto" w:fill="auto"/>
                <w:lang w:val="en-US" w:eastAsia="zh-CN" w:bidi="ar"/>
              </w:rPr>
              <w:t>幼儿园玩教具设计与制作</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28</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幼儿园保育</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54</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29</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幼儿照护</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选修课</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30</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普通话</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31</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幼儿园游戏</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32</w:t>
            </w:r>
          </w:p>
        </w:tc>
        <w:tc>
          <w:tcPr>
            <w:tcW w:w="220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幼儿园一日活动指导</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11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小计</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95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1710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8</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116" w:type="dxa"/>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教学实习</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25</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450</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15周</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55"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196</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3528</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6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624" w:type="dxa"/>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bl>
    <w:p>
      <w:pPr>
        <w:pStyle w:val="2"/>
        <w:spacing w:before="0" w:beforeAutospacing="0" w:after="0" w:afterAutospacing="0" w:line="240" w:lineRule="auto"/>
        <w:ind w:left="400" w:hanging="400" w:hangingChars="200"/>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t>备注：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200"/>
        <w:textAlignment w:val="auto"/>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t>1.每年举办环境教育专题讲座至少1次，新生入学后安排军事训练1-2周，每年举办国防教育讲</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t>座1-2次</w:t>
      </w:r>
      <w:r>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200"/>
        <w:textAlignment w:val="auto"/>
        <w:rPr>
          <w:rFonts w:ascii="方正黑体_GBK" w:eastAsia="方正黑体_GBK"/>
          <w:sz w:val="32"/>
          <w:szCs w:val="32"/>
        </w:rPr>
      </w:pPr>
      <w:r>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t>2.在《传统文化》课程教学过程中嵌入式开展《武陵山民族文化》相关内容</w:t>
      </w:r>
      <w:r>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t>。</w:t>
      </w:r>
    </w:p>
    <w:p>
      <w:pPr>
        <w:pStyle w:val="2"/>
        <w:spacing w:before="0" w:beforeAutospacing="0" w:after="0" w:afterAutospacing="0" w:line="520" w:lineRule="exact"/>
        <w:ind w:firstLine="640" w:firstLineChars="200"/>
        <w:rPr>
          <w:rFonts w:ascii="方正黑体_GBK" w:eastAsia="方正黑体_GBK"/>
          <w:sz w:val="32"/>
          <w:szCs w:val="32"/>
        </w:rPr>
      </w:pPr>
      <w:r>
        <w:rPr>
          <w:rFonts w:ascii="方正黑体_GBK" w:eastAsia="方正黑体_GBK"/>
          <w:sz w:val="32"/>
          <w:szCs w:val="32"/>
        </w:rPr>
        <w:t>八、实施保障</w:t>
      </w:r>
    </w:p>
    <w:p>
      <w:pPr>
        <w:pStyle w:val="3"/>
        <w:spacing w:before="0" w:after="0" w:line="520" w:lineRule="exact"/>
        <w:ind w:firstLine="643" w:firstLineChars="200"/>
        <w:rPr>
          <w:rFonts w:hint="eastAsia" w:ascii="方正仿宋_GBK" w:hAnsi="方正仿宋_GBK" w:eastAsia="方正仿宋_GBK" w:cs="方正仿宋_GBK"/>
          <w:sz w:val="32"/>
          <w:szCs w:val="32"/>
        </w:rPr>
      </w:pPr>
      <w:bookmarkStart w:id="16" w:name="_Toc17760"/>
      <w:r>
        <w:rPr>
          <w:rFonts w:hint="eastAsia" w:ascii="方正楷体_GBK" w:eastAsia="方正楷体_GBK"/>
        </w:rPr>
        <w:t>(一)</w:t>
      </w:r>
      <w:r>
        <w:rPr>
          <w:rFonts w:ascii="方正楷体_GBK" w:eastAsia="方正楷体_GBK"/>
        </w:rPr>
        <w:t>师资队伍</w:t>
      </w:r>
      <w:bookmarkEnd w:id="16"/>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教育部颁布的《中等职业学校教师专业标准》文件精神，进行教师队伍建设，合理配置教师资源。我校幼儿保育专业的任课教师是以骨干教师为核心，并聘请理论水平高、实践经验丰富的企业技术骨干作为兼职教师，共同打造一支专兼结合的“双师”教学团队。</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本专业共有专任教师40人，其中，专业教师18人，企业兼职教师6人，兼职教师在专任教师中的比例为15%，师生比为1：21。专业教师中“双师型”教师14人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“双师型”教师在专业教师中的比例为71%。专任教师符合以下要求：</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1.专任教师均具有本科以上学历，具有中等职业学校教师资格证书，有良好的师德，关注学生发展，熟悉教学规律，具备终身学习能力和教学改革意识。</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2.专业技能课教师有实际工作经验，熟悉行业企业岗位能力标准和行业规范，具备教学设计和实施课程教学能力。</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3.专任教师到行业企业进行相应的专业实践，每5年的专业实践时间不少于6个月。</w:t>
      </w:r>
    </w:p>
    <w:p>
      <w:pPr>
        <w:pStyle w:val="3"/>
        <w:spacing w:before="0" w:after="0" w:line="520" w:lineRule="exact"/>
        <w:ind w:firstLine="643" w:firstLineChars="200"/>
        <w:rPr>
          <w:rFonts w:ascii="方正楷体_GBK" w:eastAsia="方正楷体_GBK"/>
        </w:rPr>
      </w:pPr>
      <w:bookmarkStart w:id="17" w:name="_Toc2411"/>
      <w:r>
        <w:rPr>
          <w:rFonts w:hint="eastAsia" w:ascii="方正楷体_GBK" w:eastAsia="方正楷体_GBK"/>
        </w:rPr>
        <w:t>(二)</w:t>
      </w:r>
      <w:r>
        <w:rPr>
          <w:rFonts w:ascii="方正楷体_GBK" w:eastAsia="方正楷体_GBK"/>
        </w:rPr>
        <w:t>教学设施</w:t>
      </w:r>
      <w:bookmarkEnd w:id="17"/>
    </w:p>
    <w:p>
      <w:pPr>
        <w:widowControl/>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1.教室</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本专业共有教室</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间，全部配备多媒体设备，能充分满足信息化教学需求。</w:t>
      </w:r>
    </w:p>
    <w:p>
      <w:pPr>
        <w:widowControl/>
        <w:spacing w:line="5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校内实训基地</w:t>
      </w:r>
    </w:p>
    <w:tbl>
      <w:tblPr>
        <w:tblStyle w:val="12"/>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90"/>
        <w:gridCol w:w="1730"/>
        <w:gridCol w:w="3422"/>
        <w:gridCol w:w="1845"/>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序号</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实训室名称</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主要设备名称</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功能</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实训室地点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1</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舞蹈室1</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实木地板、镜子、把杆、音响等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形体、舞蹈训练</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2</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舞蹈室2</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实木地板、镜子、把杆、音响等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形体、舞蹈训练</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3</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kern w:val="2"/>
                <w:sz w:val="21"/>
                <w:szCs w:val="21"/>
                <w:lang w:val="en-US" w:eastAsia="zh-CN" w:bidi="ar-SA"/>
              </w:rPr>
            </w:pPr>
            <w:r>
              <w:rPr>
                <w:rFonts w:hint="eastAsia" w:ascii="方正仿宋_GBK" w:hAnsi="仿宋" w:eastAsia="方正仿宋_GBK" w:cs="仿宋"/>
                <w:color w:val="auto"/>
                <w:szCs w:val="21"/>
              </w:rPr>
              <w:t>舞蹈室</w:t>
            </w:r>
            <w:r>
              <w:rPr>
                <w:rFonts w:hint="eastAsia" w:ascii="方正仿宋_GBK" w:hAnsi="仿宋" w:eastAsia="方正仿宋_GBK" w:cs="仿宋"/>
                <w:color w:val="auto"/>
                <w:szCs w:val="21"/>
                <w:lang w:val="en-US" w:eastAsia="zh-CN"/>
              </w:rPr>
              <w:t>3</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rPr>
              <w:t>实木地板、镜子、把杆、音响等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kern w:val="2"/>
                <w:sz w:val="21"/>
                <w:szCs w:val="21"/>
                <w:lang w:val="en-US" w:eastAsia="zh-CN" w:bidi="ar-SA"/>
              </w:rPr>
            </w:pPr>
            <w:r>
              <w:rPr>
                <w:rFonts w:hint="eastAsia" w:ascii="方正仿宋_GBK" w:hAnsi="仿宋" w:eastAsia="方正仿宋_GBK" w:cs="仿宋"/>
                <w:color w:val="auto"/>
                <w:szCs w:val="21"/>
              </w:rPr>
              <w:t>形体、舞蹈训练</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kern w:val="2"/>
                <w:sz w:val="21"/>
                <w:szCs w:val="21"/>
                <w:lang w:val="en-US" w:eastAsia="zh-CN" w:bidi="ar-SA"/>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eastAsia="zh-CN"/>
              </w:rPr>
            </w:pPr>
            <w:r>
              <w:rPr>
                <w:rFonts w:hint="eastAsia" w:ascii="方正仿宋_GBK" w:hAnsi="仿宋" w:eastAsia="方正仿宋_GBK" w:cs="仿宋"/>
                <w:color w:val="auto"/>
                <w:szCs w:val="21"/>
                <w:lang w:val="en-US" w:eastAsia="zh-CN"/>
              </w:rPr>
              <w:t>4</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电钢室1</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电子钢琴、多媒体教学系统</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琴法实训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eastAsia="zh-CN"/>
              </w:rPr>
            </w:pPr>
            <w:r>
              <w:rPr>
                <w:rFonts w:hint="eastAsia" w:ascii="方正仿宋_GBK" w:hAnsi="仿宋" w:eastAsia="方正仿宋_GBK" w:cs="仿宋"/>
                <w:color w:val="auto"/>
                <w:szCs w:val="21"/>
                <w:lang w:val="en-US" w:eastAsia="zh-CN"/>
              </w:rPr>
              <w:t>5</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rPr>
              <w:t>钢琴室</w:t>
            </w:r>
            <w:r>
              <w:rPr>
                <w:rFonts w:hint="eastAsia" w:ascii="方正仿宋_GBK" w:hAnsi="仿宋" w:eastAsia="方正仿宋_GBK" w:cs="仿宋"/>
                <w:color w:val="auto"/>
                <w:szCs w:val="21"/>
                <w:lang w:val="en-US" w:eastAsia="zh-CN"/>
              </w:rPr>
              <w:t>1</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钢琴</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琴法实训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6</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幼儿教学活动室</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eastAsia="zh-CN"/>
              </w:rPr>
              <w:t>多媒体教学设备、幼儿园桌椅、</w:t>
            </w:r>
            <w:r>
              <w:rPr>
                <w:rFonts w:hint="eastAsia" w:ascii="方正仿宋_GBK" w:hAnsi="仿宋" w:eastAsia="方正仿宋_GBK" w:cs="仿宋"/>
                <w:color w:val="auto"/>
                <w:szCs w:val="21"/>
                <w:lang w:val="en-US" w:eastAsia="zh-CN"/>
              </w:rPr>
              <w:t>床具、语言区玩教具、表演区玩教具、表演区玩教具等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幼儿教学活动实训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7</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幼儿保育活动室</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eastAsia="zh-CN"/>
              </w:rPr>
              <w:t>多媒体教学设备、婴儿模型、清洁、消毒用具、</w:t>
            </w:r>
            <w:r>
              <w:rPr>
                <w:rFonts w:hint="eastAsia" w:ascii="方正仿宋_GBK" w:hAnsi="仿宋" w:eastAsia="方正仿宋_GBK" w:cs="仿宋"/>
                <w:color w:val="auto"/>
                <w:szCs w:val="21"/>
                <w:lang w:val="en-US" w:eastAsia="zh-CN"/>
              </w:rPr>
              <w:t>多功能抚触台等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val="en-US" w:eastAsia="zh-CN"/>
              </w:rPr>
              <w:t>幼儿保育活动实训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8</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信息技术实训室</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电脑、多媒体系统</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信息技术实训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实训楼A</w:t>
            </w:r>
          </w:p>
        </w:tc>
      </w:tr>
    </w:tbl>
    <w:p>
      <w:pPr>
        <w:numPr>
          <w:ilvl w:val="0"/>
          <w:numId w:val="0"/>
        </w:num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校外实训基地</w:t>
      </w:r>
    </w:p>
    <w:p>
      <w:pPr>
        <w:spacing w:line="460" w:lineRule="exact"/>
        <w:ind w:firstLine="640" w:firstLineChars="200"/>
        <w:outlineLvl w:val="1"/>
        <w:rPr>
          <w:rFonts w:hint="eastAsia" w:ascii="方正仿宋_GBK" w:hAnsi="方正仿宋_GBK" w:eastAsia="方正仿宋_GBK" w:cs="方正仿宋_GBK"/>
          <w:sz w:val="32"/>
          <w:szCs w:val="32"/>
        </w:rPr>
      </w:pPr>
      <w:bookmarkStart w:id="18" w:name="_Toc23449"/>
      <w:r>
        <w:rPr>
          <w:rFonts w:hint="eastAsia" w:ascii="方正仿宋_GBK" w:hAnsi="方正仿宋_GBK" w:eastAsia="方正仿宋_GBK" w:cs="方正仿宋_GBK"/>
          <w:sz w:val="32"/>
          <w:szCs w:val="32"/>
        </w:rPr>
        <w:t>专业与区域内的实验幼儿园、阳光幼儿园、小精灵幼儿园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优尼克早教中</w:t>
      </w:r>
      <w:r>
        <w:rPr>
          <w:rFonts w:hint="eastAsia" w:ascii="方正仿宋_GBK" w:hAnsi="方正仿宋_GBK" w:eastAsia="方正仿宋_GBK" w:cs="方正仿宋_GBK"/>
          <w:sz w:val="32"/>
          <w:szCs w:val="32"/>
          <w:lang w:val="en-US" w:eastAsia="zh-CN"/>
        </w:rPr>
        <w:t>心</w:t>
      </w:r>
      <w:r>
        <w:rPr>
          <w:rFonts w:hint="eastAsia" w:ascii="方正仿宋_GBK" w:hAnsi="方正仿宋_GBK" w:eastAsia="方正仿宋_GBK" w:cs="方正仿宋_GBK"/>
          <w:sz w:val="32"/>
          <w:szCs w:val="32"/>
        </w:rPr>
        <w:t>等幼儿园和幼儿培训机构开展园校合作，建立14个校外实训基地。</w:t>
      </w:r>
      <w:bookmarkEnd w:id="18"/>
    </w:p>
    <w:p>
      <w:pPr>
        <w:pStyle w:val="3"/>
        <w:spacing w:before="0" w:after="0" w:line="520" w:lineRule="exact"/>
        <w:ind w:firstLine="643" w:firstLineChars="200"/>
        <w:rPr>
          <w:rFonts w:ascii="方正楷体_GBK" w:eastAsia="方正楷体_GBK"/>
        </w:rPr>
      </w:pPr>
      <w:bookmarkStart w:id="19" w:name="_Toc2964"/>
      <w:r>
        <w:rPr>
          <w:rFonts w:hint="eastAsia" w:ascii="方正楷体_GBK" w:eastAsia="方正楷体_GBK"/>
        </w:rPr>
        <w:t>(三)</w:t>
      </w:r>
      <w:r>
        <w:rPr>
          <w:rFonts w:ascii="方正楷体_GBK" w:eastAsia="方正楷体_GBK"/>
        </w:rPr>
        <w:t>教学资源</w:t>
      </w:r>
      <w:bookmarkEnd w:id="19"/>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1.教材选用与编写</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按照教育部《职业院校教材管理办法》(教材〔2019〕3号)文件规定，本专业公共基础课程规范选用统编教材，专业课优先选用国家规划教材，没有国家规划教材的则选用体现新</w:t>
      </w:r>
      <w:r>
        <w:rPr>
          <w:rFonts w:hint="eastAsia" w:ascii="方正仿宋_GBK" w:hAnsi="方正仿宋_GBK" w:eastAsia="方正仿宋_GBK" w:cs="方正仿宋_GBK"/>
          <w:sz w:val="32"/>
          <w:szCs w:val="32"/>
          <w:lang w:eastAsia="zh-CN"/>
        </w:rPr>
        <w:t>理念</w:t>
      </w:r>
      <w:r>
        <w:rPr>
          <w:rFonts w:hint="eastAsia" w:ascii="方正仿宋_GBK" w:hAnsi="方正仿宋_GBK" w:eastAsia="方正仿宋_GBK" w:cs="方正仿宋_GBK"/>
          <w:sz w:val="32"/>
          <w:szCs w:val="32"/>
        </w:rPr>
        <w:t>、新</w:t>
      </w:r>
      <w:r>
        <w:rPr>
          <w:rFonts w:hint="eastAsia" w:ascii="方正仿宋_GBK" w:hAnsi="方正仿宋_GBK" w:eastAsia="方正仿宋_GBK" w:cs="方正仿宋_GBK"/>
          <w:sz w:val="32"/>
          <w:szCs w:val="32"/>
          <w:lang w:eastAsia="zh-CN"/>
        </w:rPr>
        <w:t>技能</w:t>
      </w:r>
      <w:r>
        <w:rPr>
          <w:rFonts w:hint="eastAsia" w:ascii="方正仿宋_GBK" w:hAnsi="方正仿宋_GBK" w:eastAsia="方正仿宋_GBK" w:cs="方正仿宋_GBK"/>
          <w:sz w:val="32"/>
          <w:szCs w:val="32"/>
        </w:rPr>
        <w:t>、新规范等的高质量教材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或按国家专业教学标准要求自编校本教材。选用教材须经教研组长、专业部和分管领导同意。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图书资料配备（数量）</w:t>
      </w:r>
    </w:p>
    <w:p>
      <w:pPr>
        <w:spacing w:line="52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学校图书室配备了专业书籍和电子书12500套（册），建立了专门的信息网络资源。</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3.数字资源配备</w:t>
      </w:r>
    </w:p>
    <w:p>
      <w:pPr>
        <w:spacing w:line="5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专业开发了《幼儿行为观察与记录》等6门课程标准及1门实训手册；编写了出版教材《幼儿行为观察与记录》；建立了6门专业课程的教学设计、课件、习题等数字化资源库，实现资源共享。</w:t>
      </w:r>
    </w:p>
    <w:p>
      <w:pPr>
        <w:pStyle w:val="3"/>
        <w:spacing w:before="0" w:after="0" w:line="520" w:lineRule="exact"/>
        <w:ind w:firstLine="643" w:firstLineChars="200"/>
        <w:rPr>
          <w:rFonts w:ascii="方正楷体_GBK" w:eastAsia="方正楷体_GBK"/>
        </w:rPr>
      </w:pPr>
      <w:bookmarkStart w:id="20" w:name="_Toc28329"/>
      <w:r>
        <w:rPr>
          <w:rFonts w:hint="eastAsia" w:ascii="方正楷体_GBK" w:eastAsia="方正楷体_GBK"/>
        </w:rPr>
        <w:t>(四)</w:t>
      </w:r>
      <w:r>
        <w:rPr>
          <w:rFonts w:ascii="方正楷体_GBK" w:eastAsia="方正楷体_GBK"/>
        </w:rPr>
        <w:t>教学方法</w:t>
      </w:r>
      <w:bookmarkEnd w:id="20"/>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1.公共基础课</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基础课程教学按教育部规定要求开设，教学中有意、有机、有效的落实课程思政，落实教育立德树人根本任务。遵循培养学生科学文化素养、服务学生专业学习和终身发展的基本原则，加大教学方法、教学组织形式的改革，教学手段、教学模式的创新，综合运用启发式、探究式、讨论式、合作式、参与式等教学方法，促进现代教育技术与传统教学的融合，调动学生学习的积极性，激发学生主动参与到互动学习、自主学习、合作学习、探究讨论中来，提高学生的科学人文素养和综合素质，为学生职业能力的形成和可持续发展奠定基础。</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2.专业（技能）课</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优化教学手段、教学方法，充分利用信息技术手段，实现信息技术与学科教学的有效整合，推动大数据、人工智能、虚拟现实等现代信息技术在教育教学中的广泛应用，运用现代信息技术成果来改造课堂教学过程，把线下课堂变成线下线上混合式课堂，推广翻转课堂、混合式教学、理实一体教学等新型教学模式，将学习空间由单一的课堂变成多元的学习空间，引领学生自主地深度学习，促进“知识课堂”向“智慧课堂”转型。</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（2）有意、有机、有效的落实课程思政，思政教育与技能培养有机结合，引导学生树立正确的理想信念，践行社会主义核心价值观，培养学生的劳动精神、劳模精神和工匠精神。</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注重职业教育的教学过程与企业生产过程相对接，推行面向企业真实生产环境的任务式教学模式，构建“自主、泛在、个性化”的教学环境，建设校内课堂、网上课堂和企业课堂，推进师生互动、企业深度参与的“以学习者为中心”的教学。</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突出专业教学特色，普及推广项目教学、案例教学、情境教学、模块化教学方式，广泛运用启发式、探究式、讨论式、合作式、参与式等教学方法，引入多维度的学习方式。促进书证融通，紧贴生产劳动开展理实一体教学，通过学中做、做中学掌握过程性知识，完成专业知识的应用与转化与技能形成，培养学生动手操作能力和解决复杂问题的综合思维能力和社会能力。</w:t>
      </w:r>
    </w:p>
    <w:p>
      <w:pPr>
        <w:pStyle w:val="3"/>
        <w:spacing w:before="0" w:after="0" w:line="520" w:lineRule="exact"/>
        <w:ind w:firstLine="643" w:firstLineChars="200"/>
        <w:rPr>
          <w:rFonts w:ascii="方正楷体_GBK" w:eastAsia="方正楷体_GBK"/>
        </w:rPr>
      </w:pPr>
      <w:bookmarkStart w:id="21" w:name="_Toc19305"/>
      <w:r>
        <w:rPr>
          <w:rFonts w:hint="eastAsia" w:ascii="方正楷体_GBK" w:eastAsia="方正楷体_GBK"/>
        </w:rPr>
        <w:t>(五)</w:t>
      </w:r>
      <w:r>
        <w:rPr>
          <w:rFonts w:ascii="方正楷体_GBK" w:eastAsia="方正楷体_GBK"/>
        </w:rPr>
        <w:t>学习评价</w:t>
      </w:r>
      <w:bookmarkEnd w:id="21"/>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本专业培养目标和培养规格，坚持发展性、激励性评价原则，完善学生学习过程监测、评价与反馈机制，健全多元化考核评价体系，多元、多主体评价相结合，过程性评价与终结性评价结合，坚持基础性原则、有效性原则、公正性原则对学生开展学习评价。按照对学生学业成绩、实践经历、综合素质等方面的考核要求、考核方式和考核标准，对学生的公共基础课程、专业理论课、专业技能三部分开展学习评价，加大过程考核、实践技能考核成绩在课程总成绩中的比重。</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1.公共基础课学习评价方式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笔试与过程考核相结合方式：过程考核60%+期末考核40%。</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过程考核主要考察学生的出勤率、学习态度、课堂发言、作业完成情况等方面，以及学生的自学能力，探索能力，动手能力和对知识的融会贯通能力。</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2.专业(技能)课评价方式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专业(技能)课评价主要根据课程的特点，主要有以下三种评价方式：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笔试考核方式：主要针对学前儿童卫生与保健、学前儿童发展心理及学前教育学基础三门专业核心课的考核，学前儿童卫生与保健是由水平考试成绩100%考核通过，学前儿童发展心理及学前教育学基础是由水平考试和转段技能考试成绩100%考核通过。</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(2)笔试与过程考核相结合方式：过程考核60%+期末考核40%。</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过程考核主要考察学生的出勤率、学习态度、课堂发言、作业完成情况等方面，期末考核形式为笔试。</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(3)平时表现+任务完成情况+终结性考核相结合方式：平时表现30%+任务考核10%+终结性考核60%。</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时表现主要考察学生的出勤率、学习态度、课堂发言、作业完成情况等方面，任务考核主要考察学生课题任务完成情况，终结性考核主要采用实操方式，可采用教师设置任务，然后根据学生完成任务的成果和成效进行评价。</w:t>
      </w:r>
    </w:p>
    <w:p>
      <w:pPr>
        <w:pStyle w:val="3"/>
        <w:spacing w:before="0" w:after="0" w:line="520" w:lineRule="exact"/>
        <w:ind w:firstLine="643" w:firstLineChars="200"/>
        <w:rPr>
          <w:rFonts w:ascii="方正楷体_GBK" w:eastAsia="方正楷体_GBK"/>
        </w:rPr>
      </w:pPr>
      <w:bookmarkStart w:id="22" w:name="_Toc6946"/>
      <w:r>
        <w:rPr>
          <w:rFonts w:hint="eastAsia" w:ascii="方正楷体_GBK" w:eastAsia="方正楷体_GBK"/>
        </w:rPr>
        <w:t>(六)</w:t>
      </w:r>
      <w:r>
        <w:rPr>
          <w:rFonts w:ascii="方正楷体_GBK" w:eastAsia="方正楷体_GBK"/>
        </w:rPr>
        <w:t>质量管理</w:t>
      </w:r>
      <w:bookmarkEnd w:id="22"/>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建立教学管理体系</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(1)教学管理体系</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(2)教学管理制度</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教学管理制度是保证人才培养方案顺利执行的基础，学校制定《教学督导制度》《教师听评课制度》《学生评教制度》等制度对教学过程进行质量管理和评定。</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(3)教学管理信息化</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充分利用OA平台进行课程管理、学籍管理、教务管理、网上评教等工作，及时收集、汇总和更新管理信息，使各部门之间能实时沟通和共享，进而提高教学管理的效率和水平。</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(4)教学常规管理</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加强教学常规的管理，使教师的备课、授课、批改作业、考试考核等各个环节更为科学、规范、有效。</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2.开展校企合作</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pPr>
        <w:pStyle w:val="2"/>
        <w:spacing w:before="0" w:beforeAutospacing="0" w:after="0" w:afterAutospacing="0" w:line="520" w:lineRule="exact"/>
        <w:ind w:firstLine="640" w:firstLineChars="200"/>
        <w:rPr>
          <w:rFonts w:ascii="方正黑体_GBK" w:eastAsia="方正黑体_GBK"/>
          <w:sz w:val="32"/>
          <w:szCs w:val="32"/>
        </w:rPr>
      </w:pPr>
      <w:bookmarkStart w:id="23" w:name="_Toc21053"/>
      <w:r>
        <w:rPr>
          <w:rFonts w:ascii="方正黑体_GBK" w:eastAsia="方正黑体_GBK"/>
          <w:sz w:val="32"/>
          <w:szCs w:val="32"/>
        </w:rPr>
        <w:t>九、毕业要求</w:t>
      </w:r>
      <w:bookmarkEnd w:id="23"/>
    </w:p>
    <w:p>
      <w:pPr>
        <w:spacing w:line="520" w:lineRule="exact"/>
        <w:ind w:firstLine="640" w:firstLineChars="200"/>
        <w:rPr>
          <w:rFonts w:ascii="方正仿宋_GBK" w:eastAsia="方正仿宋_GBK"/>
          <w:sz w:val="32"/>
          <w:szCs w:val="32"/>
        </w:rPr>
      </w:pPr>
      <w:r>
        <w:rPr>
          <w:rFonts w:ascii="方正仿宋_GBK" w:eastAsia="方正仿宋_GBK"/>
          <w:sz w:val="32"/>
          <w:szCs w:val="32"/>
        </w:rPr>
        <w:t>本专业</w:t>
      </w:r>
      <w:r>
        <w:rPr>
          <w:rFonts w:hint="eastAsia" w:ascii="方正仿宋_GBK" w:eastAsia="方正仿宋_GBK"/>
          <w:sz w:val="32"/>
          <w:szCs w:val="32"/>
        </w:rPr>
        <w:t>毕业生学满三年，且达到以下毕业标准方可毕业：</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1.必须具有重庆市中职学生三年完整学籍</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2.各科成绩必须在合格及以上</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3.学生实习实训成绩必须在合格以上</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4.学生道德品质评价必须在合格以上</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5.没有受到学校警告以上处分或处分已经撤销</w:t>
      </w:r>
      <w:r>
        <w:rPr>
          <w:rFonts w:hint="eastAsia" w:ascii="方正仿宋_GBK" w:eastAsia="方正仿宋_GBK"/>
          <w:color w:val="auto"/>
          <w:sz w:val="32"/>
          <w:szCs w:val="32"/>
          <w:lang w:eastAsia="zh-CN"/>
        </w:rPr>
        <w:t>；</w:t>
      </w:r>
    </w:p>
    <w:p>
      <w:pPr>
        <w:spacing w:line="520" w:lineRule="exact"/>
        <w:ind w:firstLine="640" w:firstLineChars="200"/>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6.获取保育员职业资格证书或“1+X”证书。</w:t>
      </w:r>
    </w:p>
    <w:p>
      <w:pPr>
        <w:pStyle w:val="2"/>
        <w:spacing w:before="0" w:beforeAutospacing="0" w:after="0" w:afterAutospacing="0" w:line="520" w:lineRule="exact"/>
        <w:ind w:firstLine="640" w:firstLineChars="200"/>
        <w:rPr>
          <w:rFonts w:hint="eastAsia" w:ascii="方正黑体_GBK" w:eastAsia="方正黑体_GBK"/>
          <w:color w:val="auto"/>
          <w:sz w:val="32"/>
          <w:szCs w:val="32"/>
          <w:lang w:eastAsia="zh-CN"/>
        </w:rPr>
      </w:pPr>
      <w:bookmarkStart w:id="24" w:name="_Toc29062"/>
      <w:r>
        <w:rPr>
          <w:rFonts w:ascii="方正黑体_GBK" w:eastAsia="方正黑体_GBK"/>
          <w:color w:val="auto"/>
          <w:sz w:val="32"/>
          <w:szCs w:val="32"/>
        </w:rPr>
        <w:t>十、</w:t>
      </w:r>
      <w:bookmarkEnd w:id="24"/>
      <w:r>
        <w:rPr>
          <w:rFonts w:hint="eastAsia" w:ascii="方正黑体_GBK" w:eastAsia="方正黑体_GBK"/>
          <w:color w:val="auto"/>
          <w:sz w:val="32"/>
          <w:szCs w:val="32"/>
          <w:lang w:val="en-US" w:eastAsia="zh-CN"/>
        </w:rPr>
        <w:t>其他</w:t>
      </w:r>
    </w:p>
    <w:p>
      <w:pPr>
        <w:pStyle w:val="3"/>
        <w:spacing w:before="0" w:after="0" w:line="520" w:lineRule="exact"/>
        <w:ind w:firstLine="643" w:firstLineChars="200"/>
        <w:rPr>
          <w:rFonts w:hint="eastAsia" w:ascii="方正楷体_GBK" w:eastAsia="方正楷体_GBK"/>
          <w:color w:val="auto"/>
        </w:rPr>
      </w:pPr>
      <w:bookmarkStart w:id="25" w:name="_Toc24459"/>
      <w:r>
        <w:rPr>
          <w:rFonts w:hint="eastAsia" w:ascii="方正楷体_GBK" w:eastAsia="方正楷体_GBK"/>
          <w:color w:val="auto"/>
        </w:rPr>
        <w:t>(一)</w:t>
      </w:r>
      <w:bookmarkStart w:id="26" w:name="_Toc19370991"/>
      <w:r>
        <w:rPr>
          <w:rFonts w:hint="eastAsia" w:ascii="方正楷体_GBK" w:eastAsia="方正楷体_GBK"/>
          <w:color w:val="auto"/>
        </w:rPr>
        <w:t>编制依据</w:t>
      </w:r>
      <w:bookmarkEnd w:id="25"/>
      <w:bookmarkEnd w:id="26"/>
    </w:p>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27" w:name="_Toc17793014"/>
      <w:r>
        <w:rPr>
          <w:rFonts w:hint="eastAsia" w:ascii="方正仿宋_GBK" w:hAnsi="方正仿宋_GBK" w:eastAsia="方正仿宋_GBK" w:cs="方正仿宋_GBK"/>
          <w:color w:val="auto"/>
          <w:sz w:val="32"/>
          <w:szCs w:val="32"/>
          <w:lang w:val="zh-CN"/>
        </w:rPr>
        <w:t>1.教育部办公厅《关于制订中等职业学校专业教学标准的意见》(教职成厅[2012]5号)</w:t>
      </w:r>
      <w:bookmarkEnd w:id="27"/>
      <w:r>
        <w:rPr>
          <w:rFonts w:hint="eastAsia" w:ascii="方正仿宋_GBK" w:hAnsi="方正仿宋_GBK" w:eastAsia="方正仿宋_GBK" w:cs="方正仿宋_GBK"/>
          <w:color w:val="auto"/>
          <w:sz w:val="32"/>
          <w:szCs w:val="32"/>
          <w:lang w:val="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28" w:name="_Toc17793015"/>
      <w:r>
        <w:rPr>
          <w:rFonts w:hint="eastAsia" w:ascii="方正仿宋_GBK" w:hAnsi="方正仿宋_GBK" w:eastAsia="方正仿宋_GBK" w:cs="方正仿宋_GBK"/>
          <w:color w:val="auto"/>
          <w:sz w:val="32"/>
          <w:szCs w:val="32"/>
          <w:lang w:val="zh-CN"/>
        </w:rPr>
        <w:t>2. 教育部《关于职业院校专业人才培养方案制订与实施工作的指导意见》(教职成〔2019〕13号)；</w:t>
      </w:r>
    </w:p>
    <w:bookmarkEnd w:id="28"/>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29" w:name="_Toc17793016"/>
      <w:r>
        <w:rPr>
          <w:rFonts w:hint="eastAsia" w:ascii="方正仿宋_GBK" w:hAnsi="方正仿宋_GBK" w:eastAsia="方正仿宋_GBK" w:cs="方正仿宋_GBK"/>
          <w:color w:val="auto"/>
          <w:sz w:val="32"/>
          <w:szCs w:val="32"/>
          <w:lang w:val="zh-CN"/>
        </w:rPr>
        <w:t>3.教育部《中等职业学校公共基础课程方案》(教职成厅〔2019〕6号)；</w:t>
      </w:r>
    </w:p>
    <w:p>
      <w:pPr>
        <w:spacing w:line="52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4.教育部发布的中等职业学校公共基础课课程标准</w:t>
      </w:r>
      <w:r>
        <w:rPr>
          <w:rFonts w:hint="eastAsia" w:ascii="方正仿宋_GBK" w:hAnsi="方正仿宋_GBK" w:eastAsia="方正仿宋_GBK" w:cs="方正仿宋_GBK"/>
          <w:color w:val="auto"/>
          <w:sz w:val="32"/>
          <w:szCs w:val="32"/>
          <w:lang w:eastAsia="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val="zh-CN"/>
        </w:rPr>
        <w:t>教育部公布的中等职业学校学前教育专业教学标准</w:t>
      </w:r>
      <w:bookmarkEnd w:id="29"/>
      <w:r>
        <w:rPr>
          <w:rFonts w:hint="eastAsia" w:ascii="方正仿宋_GBK" w:hAnsi="方正仿宋_GBK" w:eastAsia="方正仿宋_GBK" w:cs="方正仿宋_GBK"/>
          <w:color w:val="auto"/>
          <w:sz w:val="32"/>
          <w:szCs w:val="32"/>
          <w:lang w:val="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val="zh-CN"/>
        </w:rPr>
        <w:t>.重庆市教育科学研究院制定的《重庆市中职学校30个专业人培指导方案》。</w:t>
      </w:r>
    </w:p>
    <w:p>
      <w:pPr>
        <w:pStyle w:val="3"/>
        <w:spacing w:before="0" w:after="0" w:line="520" w:lineRule="exact"/>
        <w:ind w:firstLine="643" w:firstLineChars="200"/>
        <w:rPr>
          <w:rFonts w:hint="eastAsia" w:ascii="方正楷体_GBK" w:eastAsia="方正楷体_GBK"/>
          <w:color w:val="auto"/>
        </w:rPr>
      </w:pPr>
      <w:bookmarkStart w:id="30" w:name="_Toc17793018"/>
      <w:bookmarkStart w:id="31" w:name="_Toc19370992"/>
      <w:bookmarkStart w:id="32" w:name="_Toc9421"/>
      <w:r>
        <w:rPr>
          <w:rFonts w:hint="eastAsia" w:ascii="方正楷体_GBK" w:eastAsia="方正楷体_GBK"/>
          <w:color w:val="auto"/>
        </w:rPr>
        <w:t>(二)编制人员</w:t>
      </w:r>
      <w:bookmarkEnd w:id="30"/>
      <w:bookmarkEnd w:id="31"/>
      <w:bookmarkEnd w:id="32"/>
    </w:p>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33" w:name="_Toc17793019"/>
      <w:r>
        <w:rPr>
          <w:rFonts w:hint="eastAsia" w:ascii="方正仿宋_GBK" w:hAnsi="方正仿宋_GBK" w:eastAsia="方正仿宋_GBK" w:cs="方正仿宋_GBK"/>
          <w:color w:val="auto"/>
          <w:sz w:val="32"/>
          <w:szCs w:val="32"/>
          <w:lang w:val="zh-CN"/>
        </w:rPr>
        <w:t>1.职业教育指导专家：谭绍华、黄承国、周劼</w:t>
      </w:r>
      <w:bookmarkEnd w:id="33"/>
      <w:r>
        <w:rPr>
          <w:rFonts w:hint="eastAsia" w:ascii="方正仿宋_GBK" w:hAnsi="方正仿宋_GBK" w:eastAsia="方正仿宋_GBK" w:cs="方正仿宋_GBK"/>
          <w:color w:val="auto"/>
          <w:sz w:val="32"/>
          <w:szCs w:val="32"/>
          <w:lang w:val="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34" w:name="_Toc17793020"/>
      <w:r>
        <w:rPr>
          <w:rFonts w:hint="eastAsia" w:ascii="方正仿宋_GBK" w:hAnsi="方正仿宋_GBK" w:eastAsia="方正仿宋_GBK" w:cs="方正仿宋_GBK"/>
          <w:color w:val="auto"/>
          <w:sz w:val="32"/>
          <w:szCs w:val="32"/>
          <w:lang w:val="zh-CN"/>
        </w:rPr>
        <w:t>2.行业企业指导专家：</w:t>
      </w:r>
      <w:bookmarkEnd w:id="34"/>
      <w:bookmarkStart w:id="35" w:name="_Toc17793021"/>
      <w:r>
        <w:rPr>
          <w:rFonts w:hint="eastAsia" w:ascii="方正仿宋_GBK" w:hAnsi="方正仿宋_GBK" w:eastAsia="方正仿宋_GBK" w:cs="方正仿宋_GBK"/>
          <w:color w:val="auto"/>
          <w:sz w:val="32"/>
          <w:szCs w:val="32"/>
          <w:lang w:val="zh-CN"/>
        </w:rPr>
        <w:t>吴艳、陈敏、熊莉、王渝萍；</w:t>
      </w:r>
    </w:p>
    <w:p>
      <w:pPr>
        <w:spacing w:line="520" w:lineRule="exact"/>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3.学校领导及骨干教师：</w:t>
      </w:r>
      <w:bookmarkEnd w:id="35"/>
      <w:r>
        <w:rPr>
          <w:rFonts w:hint="eastAsia" w:ascii="方正仿宋_GBK" w:hAnsi="方正仿宋_GBK" w:eastAsia="方正仿宋_GBK" w:cs="方正仿宋_GBK"/>
          <w:color w:val="auto"/>
          <w:sz w:val="32"/>
          <w:szCs w:val="32"/>
          <w:lang w:val="zh-CN"/>
        </w:rPr>
        <w:t>冉</w:t>
      </w:r>
      <w:r>
        <w:rPr>
          <w:rFonts w:hint="eastAsia" w:ascii="方正仿宋_GBK" w:hAnsi="方正仿宋_GBK" w:eastAsia="方正仿宋_GBK" w:cs="方正仿宋_GBK"/>
          <w:color w:val="auto"/>
          <w:sz w:val="32"/>
          <w:szCs w:val="32"/>
          <w:lang w:val="zh-CN" w:eastAsia="zh-CN"/>
        </w:rPr>
        <w:t>炅</w:t>
      </w:r>
      <w:r>
        <w:rPr>
          <w:rFonts w:hint="eastAsia" w:ascii="方正仿宋_GBK" w:hAnsi="方正仿宋_GBK" w:eastAsia="方正仿宋_GBK" w:cs="方正仿宋_GBK"/>
          <w:color w:val="auto"/>
          <w:sz w:val="32"/>
          <w:szCs w:val="32"/>
          <w:lang w:val="en-US" w:eastAsia="zh-CN"/>
        </w:rPr>
        <w:t>、王堂祥、周伟</w:t>
      </w:r>
      <w:r>
        <w:rPr>
          <w:rFonts w:hint="eastAsia" w:ascii="方正仿宋_GBK" w:hAnsi="方正仿宋_GBK" w:eastAsia="方正仿宋_GBK" w:cs="方正仿宋_GBK"/>
          <w:color w:val="auto"/>
          <w:sz w:val="32"/>
          <w:szCs w:val="32"/>
          <w:lang w:val="zh-CN" w:eastAsia="zh-CN"/>
        </w:rPr>
        <w:t>、陈澄、张秀莲、王晨熹、</w:t>
      </w:r>
      <w:r>
        <w:rPr>
          <w:rFonts w:hint="eastAsia" w:ascii="方正仿宋_GBK" w:hAnsi="方正仿宋_GBK" w:eastAsia="方正仿宋_GBK" w:cs="方正仿宋_GBK"/>
          <w:color w:val="auto"/>
          <w:sz w:val="32"/>
          <w:szCs w:val="32"/>
          <w:lang w:val="en-US" w:eastAsia="zh-CN"/>
        </w:rPr>
        <w:t>张丹梅、</w:t>
      </w:r>
      <w:r>
        <w:rPr>
          <w:rFonts w:hint="eastAsia" w:ascii="方正仿宋_GBK" w:hAnsi="方正仿宋_GBK" w:eastAsia="方正仿宋_GBK" w:cs="方正仿宋_GBK"/>
          <w:color w:val="auto"/>
          <w:sz w:val="32"/>
          <w:szCs w:val="32"/>
          <w:lang w:val="zh-CN" w:eastAsia="zh-CN"/>
        </w:rPr>
        <w:t>赵杨。</w:t>
      </w:r>
    </w:p>
    <w:p>
      <w:pPr>
        <w:pStyle w:val="3"/>
        <w:spacing w:before="0" w:after="0" w:line="520" w:lineRule="exact"/>
        <w:ind w:firstLine="643" w:firstLineChars="200"/>
        <w:rPr>
          <w:rFonts w:hint="eastAsia" w:ascii="方正楷体_GBK" w:eastAsia="方正楷体_GBK"/>
        </w:rPr>
      </w:pPr>
      <w:bookmarkStart w:id="36" w:name="_Toc19370993"/>
      <w:bookmarkStart w:id="37" w:name="_Toc3654"/>
      <w:r>
        <w:rPr>
          <w:rFonts w:hint="eastAsia" w:ascii="方正楷体_GBK" w:eastAsia="方正楷体_GBK"/>
        </w:rPr>
        <w:t>(三)</w:t>
      </w:r>
      <w:bookmarkEnd w:id="36"/>
      <w:r>
        <w:rPr>
          <w:rFonts w:hint="eastAsia" w:ascii="方正楷体_GBK" w:eastAsia="方正楷体_GBK"/>
        </w:rPr>
        <w:t>修订说明</w:t>
      </w:r>
      <w:bookmarkEnd w:id="37"/>
    </w:p>
    <w:p>
      <w:pPr>
        <w:spacing w:line="520" w:lineRule="exact"/>
        <w:ind w:firstLine="640" w:firstLineChars="200"/>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zh-CN"/>
        </w:rPr>
        <w:t>人才培养实施方案将依据社会经济发展、行业发展趋势和行业人才需求状况变化，每三年进行一次修订，确保专业人才培养目标与规格符合社会需求，不断提升人才培养质量。</w:t>
      </w:r>
    </w:p>
    <w:sectPr>
      <w:footerReference r:id="rId9" w:type="default"/>
      <w:pgSz w:w="11906" w:h="16838"/>
      <w:pgMar w:top="1417" w:right="1417" w:bottom="1417" w:left="158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61B76A-50C4-40C9-9C2C-78F2EC52641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ngsanaUPC">
    <w:altName w:val="Microsoft Sans Serif"/>
    <w:panose1 w:val="02020603050405020304"/>
    <w:charset w:val="00"/>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D17A99F7-6D52-4164-8784-95B160CAC927}"/>
  </w:font>
  <w:font w:name="方正楷体简体">
    <w:altName w:val="宋体"/>
    <w:panose1 w:val="02010601030101010101"/>
    <w:charset w:val="86"/>
    <w:family w:val="auto"/>
    <w:pitch w:val="default"/>
    <w:sig w:usb0="00000000" w:usb1="00000000" w:usb2="00000000" w:usb3="00000000" w:csb0="00040000" w:csb1="00000000"/>
    <w:embedRegular r:id="rId3" w:fontKey="{61BFED90-1E61-4E4A-8A01-BF27E127AADF}"/>
  </w:font>
  <w:font w:name="方正仿宋_GBK">
    <w:panose1 w:val="03000509000000000000"/>
    <w:charset w:val="86"/>
    <w:family w:val="script"/>
    <w:pitch w:val="default"/>
    <w:sig w:usb0="00000001" w:usb1="080E0000" w:usb2="00000000" w:usb3="00000000" w:csb0="00040000" w:csb1="00000000"/>
    <w:embedRegular r:id="rId4" w:fontKey="{852C2AF8-69C1-4AB2-A1B0-30F033D10A50}"/>
  </w:font>
  <w:font w:name="方正黑体_GBK">
    <w:altName w:val="微软雅黑"/>
    <w:panose1 w:val="03000509000000000000"/>
    <w:charset w:val="86"/>
    <w:family w:val="script"/>
    <w:pitch w:val="default"/>
    <w:sig w:usb0="00000000" w:usb1="00000000" w:usb2="00000010" w:usb3="00000000" w:csb0="00040000" w:csb1="00000000"/>
    <w:embedRegular r:id="rId5" w:fontKey="{AC789805-DC8C-46EB-B317-62971553D9D3}"/>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791C17BB-5EB3-4CD4-A160-EE57551617E3}"/>
  </w:font>
  <w:font w:name="方正楷体_GBK">
    <w:panose1 w:val="02000000000000000000"/>
    <w:charset w:val="86"/>
    <w:family w:val="script"/>
    <w:pitch w:val="default"/>
    <w:sig w:usb0="800002BF" w:usb1="38CF7CFA" w:usb2="00000016" w:usb3="00000000" w:csb0="00040000" w:csb1="00000000"/>
    <w:embedRegular r:id="rId7" w:fontKey="{C30B202A-E847-40A3-97E5-AB54338D7A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6"/>
      </w:rPr>
    </w:pPr>
    <w:r>
      <w:fldChar w:fldCharType="begin"/>
    </w:r>
    <w:r>
      <w:rPr>
        <w:rStyle w:val="16"/>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1</w:t>
    </w:r>
    <w:r>
      <w:rPr>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 xml:space="preserve">                            </w:t>
    </w:r>
  </w:p>
  <w:p>
    <w:pPr>
      <w:pStyle w:val="7"/>
      <w:jc w:val="right"/>
      <w:rPr>
        <w:rFonts w:hint="eastAsia" w:ascii="方正楷体简体" w:hAnsi="方正楷体简体" w:eastAsia="方正楷体简体" w:cs="方正楷体简体"/>
        <w:sz w:val="22"/>
        <w:szCs w:val="24"/>
      </w:rPr>
    </w:pPr>
    <w:r>
      <w:rPr>
        <w:rFonts w:hint="eastAsia"/>
      </w:rPr>
      <w:t xml:space="preserve">                                            </w:t>
    </w:r>
    <w:r>
      <w:rPr>
        <w:rFonts w:hint="eastAsia"/>
        <w:sz w:val="21"/>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DNmMjlhM2RjZWJjNWEwM2EzZmM5ZTJkZTU3ZDgifQ=="/>
  </w:docVars>
  <w:rsids>
    <w:rsidRoot w:val="00172A27"/>
    <w:rsid w:val="00065340"/>
    <w:rsid w:val="00080AD2"/>
    <w:rsid w:val="00236D18"/>
    <w:rsid w:val="00244608"/>
    <w:rsid w:val="002949B8"/>
    <w:rsid w:val="003C7607"/>
    <w:rsid w:val="003D4BF3"/>
    <w:rsid w:val="004F04BB"/>
    <w:rsid w:val="00516DE7"/>
    <w:rsid w:val="005C7811"/>
    <w:rsid w:val="006D0A11"/>
    <w:rsid w:val="0079358F"/>
    <w:rsid w:val="007F261E"/>
    <w:rsid w:val="00820442"/>
    <w:rsid w:val="0082610B"/>
    <w:rsid w:val="00883B07"/>
    <w:rsid w:val="008F1945"/>
    <w:rsid w:val="00920F83"/>
    <w:rsid w:val="0094420B"/>
    <w:rsid w:val="009B1535"/>
    <w:rsid w:val="009B6669"/>
    <w:rsid w:val="00A0111C"/>
    <w:rsid w:val="00A072F5"/>
    <w:rsid w:val="00A72A21"/>
    <w:rsid w:val="00B074A8"/>
    <w:rsid w:val="00B22183"/>
    <w:rsid w:val="00B56719"/>
    <w:rsid w:val="00B8028E"/>
    <w:rsid w:val="00BE039F"/>
    <w:rsid w:val="00BF26F2"/>
    <w:rsid w:val="00BF57AD"/>
    <w:rsid w:val="00C2112D"/>
    <w:rsid w:val="00C31264"/>
    <w:rsid w:val="00C8493F"/>
    <w:rsid w:val="00C8564E"/>
    <w:rsid w:val="00CC77A3"/>
    <w:rsid w:val="00CD3EA3"/>
    <w:rsid w:val="00D07AC8"/>
    <w:rsid w:val="00D935D8"/>
    <w:rsid w:val="00DE72BE"/>
    <w:rsid w:val="00E8389B"/>
    <w:rsid w:val="00EB2B3A"/>
    <w:rsid w:val="00ED1921"/>
    <w:rsid w:val="00ED5408"/>
    <w:rsid w:val="00EE2EEC"/>
    <w:rsid w:val="00EE7581"/>
    <w:rsid w:val="00F35C96"/>
    <w:rsid w:val="00FD7450"/>
    <w:rsid w:val="00FE3E07"/>
    <w:rsid w:val="012172DE"/>
    <w:rsid w:val="01EE0918"/>
    <w:rsid w:val="022B68C6"/>
    <w:rsid w:val="027D1553"/>
    <w:rsid w:val="038E1006"/>
    <w:rsid w:val="03A17C89"/>
    <w:rsid w:val="04671424"/>
    <w:rsid w:val="04E723B2"/>
    <w:rsid w:val="06076B24"/>
    <w:rsid w:val="067F7787"/>
    <w:rsid w:val="06AB7578"/>
    <w:rsid w:val="06C84573"/>
    <w:rsid w:val="07124085"/>
    <w:rsid w:val="072A39ED"/>
    <w:rsid w:val="07590838"/>
    <w:rsid w:val="07751F82"/>
    <w:rsid w:val="085A5C84"/>
    <w:rsid w:val="0899130E"/>
    <w:rsid w:val="09332AAB"/>
    <w:rsid w:val="09F8000C"/>
    <w:rsid w:val="0A9368F1"/>
    <w:rsid w:val="0B400F57"/>
    <w:rsid w:val="0BB13019"/>
    <w:rsid w:val="0C075FD6"/>
    <w:rsid w:val="0C0A7D34"/>
    <w:rsid w:val="0C4172E7"/>
    <w:rsid w:val="0CAC4737"/>
    <w:rsid w:val="0CF754F3"/>
    <w:rsid w:val="0D934E23"/>
    <w:rsid w:val="0E2B6C1F"/>
    <w:rsid w:val="0E90376A"/>
    <w:rsid w:val="0F4D7562"/>
    <w:rsid w:val="0F5C0E2A"/>
    <w:rsid w:val="0FA450F6"/>
    <w:rsid w:val="1003234B"/>
    <w:rsid w:val="10846F68"/>
    <w:rsid w:val="108F247A"/>
    <w:rsid w:val="1173331E"/>
    <w:rsid w:val="1194010E"/>
    <w:rsid w:val="11FC2A20"/>
    <w:rsid w:val="13580125"/>
    <w:rsid w:val="13C3743C"/>
    <w:rsid w:val="145C7B14"/>
    <w:rsid w:val="145E1D2E"/>
    <w:rsid w:val="14F14FB1"/>
    <w:rsid w:val="152E30B9"/>
    <w:rsid w:val="15A23219"/>
    <w:rsid w:val="169C78EC"/>
    <w:rsid w:val="16CC6015"/>
    <w:rsid w:val="16DD602A"/>
    <w:rsid w:val="16DF45D1"/>
    <w:rsid w:val="174435A9"/>
    <w:rsid w:val="17CF3743"/>
    <w:rsid w:val="17F85B05"/>
    <w:rsid w:val="17FF7436"/>
    <w:rsid w:val="18D5537D"/>
    <w:rsid w:val="18F03E0E"/>
    <w:rsid w:val="19025EAE"/>
    <w:rsid w:val="19333488"/>
    <w:rsid w:val="194F5DE1"/>
    <w:rsid w:val="19E41161"/>
    <w:rsid w:val="1A561BD3"/>
    <w:rsid w:val="1B1131DD"/>
    <w:rsid w:val="1B8765C5"/>
    <w:rsid w:val="1D5B4564"/>
    <w:rsid w:val="1E034774"/>
    <w:rsid w:val="1E787442"/>
    <w:rsid w:val="1F666FDE"/>
    <w:rsid w:val="20056727"/>
    <w:rsid w:val="208B30AC"/>
    <w:rsid w:val="20D46542"/>
    <w:rsid w:val="21952622"/>
    <w:rsid w:val="21D961A9"/>
    <w:rsid w:val="22FC6CF0"/>
    <w:rsid w:val="23006436"/>
    <w:rsid w:val="2321366C"/>
    <w:rsid w:val="2399639D"/>
    <w:rsid w:val="23EA5246"/>
    <w:rsid w:val="24B255C5"/>
    <w:rsid w:val="252E2F48"/>
    <w:rsid w:val="26783AE6"/>
    <w:rsid w:val="26C07E1A"/>
    <w:rsid w:val="27A51A7A"/>
    <w:rsid w:val="27E7737E"/>
    <w:rsid w:val="2827519B"/>
    <w:rsid w:val="28306A7D"/>
    <w:rsid w:val="289E49EC"/>
    <w:rsid w:val="28D17421"/>
    <w:rsid w:val="297D61ED"/>
    <w:rsid w:val="2A4B56EC"/>
    <w:rsid w:val="2A64338F"/>
    <w:rsid w:val="2AAF0EA3"/>
    <w:rsid w:val="2AD74796"/>
    <w:rsid w:val="2B454A32"/>
    <w:rsid w:val="2C64676F"/>
    <w:rsid w:val="2C850CEA"/>
    <w:rsid w:val="2C8651C8"/>
    <w:rsid w:val="2D505C85"/>
    <w:rsid w:val="2E5E275A"/>
    <w:rsid w:val="2E92649F"/>
    <w:rsid w:val="2FFC30F9"/>
    <w:rsid w:val="30067763"/>
    <w:rsid w:val="30074BF6"/>
    <w:rsid w:val="30A7527D"/>
    <w:rsid w:val="31541D8F"/>
    <w:rsid w:val="3195394B"/>
    <w:rsid w:val="31F30ADB"/>
    <w:rsid w:val="3261026A"/>
    <w:rsid w:val="33474EB5"/>
    <w:rsid w:val="34656D2C"/>
    <w:rsid w:val="346B6B66"/>
    <w:rsid w:val="34723D07"/>
    <w:rsid w:val="35556604"/>
    <w:rsid w:val="35D8548C"/>
    <w:rsid w:val="372605F5"/>
    <w:rsid w:val="3898784A"/>
    <w:rsid w:val="38D86D66"/>
    <w:rsid w:val="38E43AC7"/>
    <w:rsid w:val="392D325F"/>
    <w:rsid w:val="39A6377A"/>
    <w:rsid w:val="3A9779C7"/>
    <w:rsid w:val="3B6433C2"/>
    <w:rsid w:val="3B873C09"/>
    <w:rsid w:val="3B9259F7"/>
    <w:rsid w:val="3C392317"/>
    <w:rsid w:val="3CEC74C2"/>
    <w:rsid w:val="3D074F20"/>
    <w:rsid w:val="3D244E0A"/>
    <w:rsid w:val="3DDC3E8E"/>
    <w:rsid w:val="3E0B29B0"/>
    <w:rsid w:val="3E462555"/>
    <w:rsid w:val="3E475C5A"/>
    <w:rsid w:val="3E4C0E7F"/>
    <w:rsid w:val="3E501C54"/>
    <w:rsid w:val="3F4F28B9"/>
    <w:rsid w:val="40461486"/>
    <w:rsid w:val="40D37B8F"/>
    <w:rsid w:val="40EA1A80"/>
    <w:rsid w:val="40EA243C"/>
    <w:rsid w:val="41090805"/>
    <w:rsid w:val="4127467E"/>
    <w:rsid w:val="421F266F"/>
    <w:rsid w:val="42896EBE"/>
    <w:rsid w:val="42A5217E"/>
    <w:rsid w:val="43D37C66"/>
    <w:rsid w:val="4430562F"/>
    <w:rsid w:val="44715CB5"/>
    <w:rsid w:val="44935553"/>
    <w:rsid w:val="451D7D0F"/>
    <w:rsid w:val="46540548"/>
    <w:rsid w:val="46670F4F"/>
    <w:rsid w:val="46AE06E3"/>
    <w:rsid w:val="46F46263"/>
    <w:rsid w:val="481C20AF"/>
    <w:rsid w:val="488066AD"/>
    <w:rsid w:val="4A13381E"/>
    <w:rsid w:val="4B1C4FB1"/>
    <w:rsid w:val="4BDC3D7B"/>
    <w:rsid w:val="4C8B5880"/>
    <w:rsid w:val="4CD54388"/>
    <w:rsid w:val="4CE652E8"/>
    <w:rsid w:val="4D194D71"/>
    <w:rsid w:val="4D956EE8"/>
    <w:rsid w:val="4DBC6886"/>
    <w:rsid w:val="4E221B66"/>
    <w:rsid w:val="4ED720AB"/>
    <w:rsid w:val="4F633C11"/>
    <w:rsid w:val="4F6C6E7B"/>
    <w:rsid w:val="4F9D4EFF"/>
    <w:rsid w:val="4FB3432A"/>
    <w:rsid w:val="52826721"/>
    <w:rsid w:val="52D019AB"/>
    <w:rsid w:val="53360F0F"/>
    <w:rsid w:val="5362266C"/>
    <w:rsid w:val="536513D0"/>
    <w:rsid w:val="54626DE4"/>
    <w:rsid w:val="54A877B3"/>
    <w:rsid w:val="54B42DE8"/>
    <w:rsid w:val="54F007DB"/>
    <w:rsid w:val="551F54BE"/>
    <w:rsid w:val="55402FEE"/>
    <w:rsid w:val="5577232B"/>
    <w:rsid w:val="55C40360"/>
    <w:rsid w:val="55E70CE6"/>
    <w:rsid w:val="55FC4B38"/>
    <w:rsid w:val="565A7277"/>
    <w:rsid w:val="56977139"/>
    <w:rsid w:val="57ED78E8"/>
    <w:rsid w:val="58C546B3"/>
    <w:rsid w:val="58F556EA"/>
    <w:rsid w:val="59001B31"/>
    <w:rsid w:val="592062AC"/>
    <w:rsid w:val="59AF176F"/>
    <w:rsid w:val="59E737B0"/>
    <w:rsid w:val="5A3C2699"/>
    <w:rsid w:val="5A476249"/>
    <w:rsid w:val="5AB619A8"/>
    <w:rsid w:val="5ABD0A6A"/>
    <w:rsid w:val="5AC91085"/>
    <w:rsid w:val="5B29399A"/>
    <w:rsid w:val="5BE151E0"/>
    <w:rsid w:val="5C8E7033"/>
    <w:rsid w:val="5DBD31FA"/>
    <w:rsid w:val="5EB8477D"/>
    <w:rsid w:val="602415AB"/>
    <w:rsid w:val="604217C3"/>
    <w:rsid w:val="605523FA"/>
    <w:rsid w:val="60DE488F"/>
    <w:rsid w:val="616B7E1E"/>
    <w:rsid w:val="61D86021"/>
    <w:rsid w:val="61E65405"/>
    <w:rsid w:val="62EF286A"/>
    <w:rsid w:val="630B743B"/>
    <w:rsid w:val="64266E68"/>
    <w:rsid w:val="65160232"/>
    <w:rsid w:val="657834F2"/>
    <w:rsid w:val="67490AD6"/>
    <w:rsid w:val="67A1068D"/>
    <w:rsid w:val="67F92CF2"/>
    <w:rsid w:val="68BB3040"/>
    <w:rsid w:val="68EB2EBB"/>
    <w:rsid w:val="6A427C65"/>
    <w:rsid w:val="6A5B4504"/>
    <w:rsid w:val="6A782267"/>
    <w:rsid w:val="6AEA6567"/>
    <w:rsid w:val="6E0944E3"/>
    <w:rsid w:val="6F03205D"/>
    <w:rsid w:val="6F27535F"/>
    <w:rsid w:val="6F6329E9"/>
    <w:rsid w:val="6F877322"/>
    <w:rsid w:val="6FFB381A"/>
    <w:rsid w:val="703031F7"/>
    <w:rsid w:val="705704B4"/>
    <w:rsid w:val="70C3301A"/>
    <w:rsid w:val="70D20D66"/>
    <w:rsid w:val="70D541DF"/>
    <w:rsid w:val="721B19FB"/>
    <w:rsid w:val="721F1E7C"/>
    <w:rsid w:val="72475B59"/>
    <w:rsid w:val="728C7879"/>
    <w:rsid w:val="73862747"/>
    <w:rsid w:val="759F3506"/>
    <w:rsid w:val="75A97459"/>
    <w:rsid w:val="75AB5E84"/>
    <w:rsid w:val="76264349"/>
    <w:rsid w:val="76790285"/>
    <w:rsid w:val="76C15942"/>
    <w:rsid w:val="775B0397"/>
    <w:rsid w:val="77A640E1"/>
    <w:rsid w:val="77C30E57"/>
    <w:rsid w:val="785577FF"/>
    <w:rsid w:val="789F183D"/>
    <w:rsid w:val="78B563CD"/>
    <w:rsid w:val="78E44360"/>
    <w:rsid w:val="79064D35"/>
    <w:rsid w:val="79675ED8"/>
    <w:rsid w:val="7976782E"/>
    <w:rsid w:val="79967AEA"/>
    <w:rsid w:val="7AF076BC"/>
    <w:rsid w:val="7CE24C65"/>
    <w:rsid w:val="7D424BBD"/>
    <w:rsid w:val="7E512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annotation text"/>
    <w:basedOn w:val="1"/>
    <w:semiHidden/>
    <w:uiPriority w:val="0"/>
    <w:pPr>
      <w:jc w:val="left"/>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99"/>
    <w:pPr>
      <w:spacing w:before="240" w:after="60"/>
      <w:jc w:val="center"/>
      <w:outlineLvl w:val="0"/>
    </w:pPr>
    <w:rPr>
      <w:rFonts w:ascii="Cambria" w:hAnsi="Cambria" w:cs="Times New Roman"/>
      <w:b/>
      <w:bCs/>
      <w:sz w:val="32"/>
      <w:szCs w:val="32"/>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Hyperlink"/>
    <w:basedOn w:val="14"/>
    <w:qFormat/>
    <w:uiPriority w:val="0"/>
    <w:rPr>
      <w:color w:val="0000FF"/>
      <w:u w:val="none"/>
    </w:rPr>
  </w:style>
  <w:style w:type="character" w:styleId="19">
    <w:name w:val="annotation reference"/>
    <w:semiHidden/>
    <w:qFormat/>
    <w:uiPriority w:val="0"/>
    <w:rPr>
      <w:sz w:val="21"/>
      <w:szCs w:val="21"/>
    </w:rPr>
  </w:style>
  <w:style w:type="character" w:customStyle="1" w:styleId="20">
    <w:name w:val="正文文本 + AngsanaUPC"/>
    <w:basedOn w:val="21"/>
    <w:qFormat/>
    <w:uiPriority w:val="0"/>
    <w:rPr>
      <w:rFonts w:ascii="AngsanaUPC" w:hAnsi="AngsanaUPC" w:eastAsia="AngsanaUPC" w:cs="AngsanaUPC"/>
      <w:spacing w:val="8"/>
      <w:sz w:val="28"/>
      <w:szCs w:val="28"/>
    </w:rPr>
  </w:style>
  <w:style w:type="character" w:customStyle="1" w:styleId="21">
    <w:name w:val="正文文本_"/>
    <w:basedOn w:val="14"/>
    <w:link w:val="22"/>
    <w:qFormat/>
    <w:uiPriority w:val="0"/>
    <w:rPr>
      <w:rFonts w:ascii="MingLiU" w:hAnsi="MingLiU" w:eastAsia="MingLiU" w:cs="MingLiU"/>
      <w:spacing w:val="20"/>
      <w:sz w:val="17"/>
      <w:szCs w:val="17"/>
      <w:u w:val="none"/>
    </w:rPr>
  </w:style>
  <w:style w:type="paragraph" w:customStyle="1" w:styleId="22">
    <w:name w:val="正文文本1"/>
    <w:basedOn w:val="1"/>
    <w:link w:val="21"/>
    <w:qFormat/>
    <w:uiPriority w:val="0"/>
    <w:pPr>
      <w:widowControl w:val="0"/>
      <w:shd w:val="clear" w:color="auto" w:fill="FFFFFF"/>
      <w:spacing w:line="302" w:lineRule="exact"/>
      <w:ind w:hanging="220"/>
      <w:jc w:val="distribute"/>
    </w:pPr>
    <w:rPr>
      <w:rFonts w:ascii="MingLiU" w:hAnsi="MingLiU" w:eastAsia="MingLiU" w:cs="MingLiU"/>
      <w:spacing w:val="20"/>
      <w:sz w:val="17"/>
      <w:szCs w:val="17"/>
      <w:u w:val="none"/>
    </w:rPr>
  </w:style>
  <w:style w:type="character" w:customStyle="1" w:styleId="23">
    <w:name w:val="正文文本 (3) Exact"/>
    <w:basedOn w:val="14"/>
    <w:link w:val="24"/>
    <w:qFormat/>
    <w:uiPriority w:val="0"/>
    <w:rPr>
      <w:rFonts w:ascii="AngsanaUPC" w:hAnsi="AngsanaUPC" w:eastAsia="AngsanaUPC" w:cs="AngsanaUPC"/>
      <w:spacing w:val="8"/>
      <w:sz w:val="28"/>
      <w:szCs w:val="28"/>
      <w:u w:val="none"/>
      <w:lang w:val="en-US"/>
    </w:rPr>
  </w:style>
  <w:style w:type="paragraph" w:customStyle="1" w:styleId="24">
    <w:name w:val="正文文本 (3)"/>
    <w:basedOn w:val="1"/>
    <w:link w:val="23"/>
    <w:qFormat/>
    <w:uiPriority w:val="0"/>
    <w:pPr>
      <w:widowControl w:val="0"/>
      <w:shd w:val="clear" w:color="auto" w:fill="FFFFFF"/>
      <w:spacing w:line="307" w:lineRule="exact"/>
    </w:pPr>
    <w:rPr>
      <w:rFonts w:ascii="AngsanaUPC" w:hAnsi="AngsanaUPC" w:eastAsia="AngsanaUPC" w:cs="AngsanaUPC"/>
      <w:spacing w:val="8"/>
      <w:sz w:val="28"/>
      <w:szCs w:val="28"/>
      <w:u w:val="none"/>
      <w:lang w:val="en-US"/>
    </w:rPr>
  </w:style>
  <w:style w:type="character" w:customStyle="1" w:styleId="25">
    <w:name w:val="hover20"/>
    <w:basedOn w:val="14"/>
    <w:qFormat/>
    <w:uiPriority w:val="0"/>
    <w:rPr>
      <w:color w:val="557EE7"/>
    </w:rPr>
  </w:style>
  <w:style w:type="character" w:customStyle="1" w:styleId="26">
    <w:name w:val="正文文本 + 间距 4 pt Exact"/>
    <w:basedOn w:val="21"/>
    <w:qFormat/>
    <w:uiPriority w:val="0"/>
    <w:rPr>
      <w:spacing w:val="85"/>
    </w:rPr>
  </w:style>
  <w:style w:type="character" w:customStyle="1" w:styleId="27">
    <w:name w:val="正文文本 (3) + MingLiU"/>
    <w:basedOn w:val="23"/>
    <w:qFormat/>
    <w:uiPriority w:val="0"/>
    <w:rPr>
      <w:rFonts w:ascii="MingLiU" w:hAnsi="MingLiU" w:eastAsia="MingLiU" w:cs="MingLiU"/>
      <w:color w:val="000000"/>
      <w:spacing w:val="25"/>
      <w:w w:val="100"/>
      <w:position w:val="0"/>
      <w:sz w:val="17"/>
      <w:szCs w:val="17"/>
      <w:lang w:val="zh-TW"/>
    </w:rPr>
  </w:style>
  <w:style w:type="character" w:customStyle="1" w:styleId="28">
    <w:name w:val="hover21"/>
    <w:basedOn w:val="14"/>
    <w:qFormat/>
    <w:uiPriority w:val="0"/>
    <w:rPr>
      <w:color w:val="557EE7"/>
    </w:rPr>
  </w:style>
  <w:style w:type="character" w:customStyle="1" w:styleId="29">
    <w:name w:val="正文文本 + 间距 1 pt Exact"/>
    <w:basedOn w:val="21"/>
    <w:qFormat/>
    <w:uiPriority w:val="0"/>
    <w:rPr>
      <w:color w:val="000000"/>
      <w:spacing w:val="25"/>
      <w:w w:val="100"/>
      <w:position w:val="0"/>
      <w:lang w:val="zh-TW"/>
    </w:rPr>
  </w:style>
  <w:style w:type="character" w:customStyle="1" w:styleId="30">
    <w:name w:val="正文文本 Exact"/>
    <w:basedOn w:val="14"/>
    <w:qFormat/>
    <w:uiPriority w:val="0"/>
    <w:rPr>
      <w:rFonts w:ascii="MingLiU" w:hAnsi="MingLiU" w:eastAsia="MingLiU" w:cs="MingLiU"/>
      <w:spacing w:val="24"/>
      <w:sz w:val="17"/>
      <w:szCs w:val="17"/>
      <w:u w:val="none"/>
    </w:rPr>
  </w:style>
  <w:style w:type="character" w:customStyle="1" w:styleId="31">
    <w:name w:val="正文文本 (3) Exact1"/>
    <w:basedOn w:val="23"/>
    <w:qFormat/>
    <w:uiPriority w:val="0"/>
    <w:rPr>
      <w:color w:val="000000"/>
      <w:w w:val="100"/>
      <w:position w:val="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Chars="200"/>
    </w:pPr>
    <w:rPr>
      <w:rFonts w:ascii="Times New Roman" w:hAnsi="Times New Roman" w:eastAsia="宋体" w:cs="Times New Roman"/>
      <w:lang w:val="en-US" w:eastAsia="zh-CN" w:bidi="ar-SA"/>
    </w:rPr>
  </w:style>
  <w:style w:type="paragraph" w:customStyle="1" w:styleId="34">
    <w:name w:val="_Style 17"/>
    <w:basedOn w:val="1"/>
    <w:semiHidden/>
    <w:qFormat/>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12224</Words>
  <Characters>12691</Characters>
  <Lines>87</Lines>
  <Paragraphs>24</Paragraphs>
  <TotalTime>13</TotalTime>
  <ScaleCrop>false</ScaleCrop>
  <LinksUpToDate>false</LinksUpToDate>
  <CharactersWithSpaces>12732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2015-06-09T07:41:00Z</dcterms:created>
  <dc:creator>微软用户</dc:creator>
  <cp:lastModifiedBy>86158</cp:lastModifiedBy>
  <cp:lastPrinted>2020-06-01T04:27:00Z</cp:lastPrinted>
  <dcterms:modified xsi:type="dcterms:W3CDTF">2022-08-20T11:09:04Z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831FAD9ADAD749FE98CCB99BEFA2D01E</vt:lpwstr>
  </property>
</Properties>
</file>