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18159"/>
      <w:bookmarkStart w:id="1" w:name="_Toc26820"/>
      <w:bookmarkStart w:id="2" w:name="_Toc12808"/>
      <w:bookmarkStart w:id="3" w:name="_Toc18881"/>
      <w:bookmarkStart w:id="4" w:name="_Toc313893526"/>
      <w:bookmarkStart w:id="5" w:name="_Toc7625"/>
      <w:bookmarkStart w:id="6" w:name="_Toc25458"/>
      <w:bookmarkStart w:id="7" w:name="_Toc317775175"/>
      <w:bookmarkStart w:id="8" w:name="_Toc3463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询价采购文件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采购编号：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QJZJZX23C002</w:t>
      </w:r>
    </w:p>
    <w:p>
      <w:pPr>
        <w:spacing w:line="360" w:lineRule="auto"/>
        <w:ind w:left="3757" w:leftChars="570" w:hanging="2560" w:hangingChars="800"/>
        <w:jc w:val="left"/>
        <w:rPr>
          <w:rFonts w:ascii="宋体" w:hAnsi="宋体" w:cs="宋体"/>
          <w:sz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宋体" w:hAnsi="宋体" w:cs="宋体"/>
          <w:sz w:val="32"/>
        </w:rPr>
        <w:t>三下乡舞台灯光租赁服务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采购单位：重庆市黔江区民族职业教育中心</w:t>
      </w:r>
    </w:p>
    <w:p>
      <w:pPr>
        <w:pStyle w:val="2"/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二〇二三年四月</w:t>
      </w:r>
    </w:p>
    <w:p>
      <w:pPr>
        <w:pStyle w:val="2"/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1488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  <w:t>采购最低下浮比例（%）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5" w:firstLineChars="150"/>
              <w:jc w:val="left"/>
              <w:rPr>
                <w:rFonts w:ascii="华文楷体" w:hAnsi="华文楷体" w:eastAsia="华文楷体" w:cs="宋体"/>
              </w:rPr>
            </w:pPr>
            <w:bookmarkStart w:id="9" w:name="_Hlk344477914"/>
            <w:r>
              <w:rPr>
                <w:rFonts w:hint="eastAsia" w:ascii="华文楷体" w:hAnsi="华文楷体" w:eastAsia="华文楷体" w:cs="宋体"/>
              </w:rPr>
              <w:t>三下乡舞台灯租赁服务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楷体" w:hAnsi="华文楷体" w:eastAsia="华文楷体" w:cs="仿宋_GB2312"/>
              </w:rPr>
            </w:pPr>
            <w:r>
              <w:rPr>
                <w:rFonts w:hint="eastAsia" w:ascii="华文楷体" w:hAnsi="华文楷体" w:eastAsia="华文楷体" w:cs="仿宋_GB2312"/>
              </w:rPr>
              <w:t>1项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楷体" w:hAnsi="华文楷体" w:eastAsia="华文楷体" w:cs="仿宋_GB2312"/>
                <w:kern w:val="0"/>
              </w:rPr>
            </w:pPr>
            <w:r>
              <w:rPr>
                <w:rFonts w:hint="eastAsia" w:ascii="华文楷体" w:hAnsi="华文楷体" w:eastAsia="华文楷体" w:cs="仿宋_GB2312"/>
                <w:kern w:val="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楷体" w:hAnsi="华文楷体" w:eastAsia="华文楷体" w:cs="仿宋_GB2312"/>
                <w:kern w:val="0"/>
              </w:rPr>
            </w:pPr>
            <w:r>
              <w:rPr>
                <w:rFonts w:hint="eastAsia" w:ascii="华文楷体" w:hAnsi="华文楷体" w:eastAsia="华文楷体" w:cs="仿宋_GB2312"/>
                <w:kern w:val="0"/>
              </w:rPr>
              <w:t>自筹资金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 w:cs="仿宋_GB2312"/>
                <w:b/>
              </w:rPr>
            </w:pPr>
          </w:p>
        </w:tc>
      </w:tr>
      <w:bookmarkEnd w:id="9"/>
    </w:tbl>
    <w:p>
      <w:pPr>
        <w:pStyle w:val="5"/>
        <w:spacing w:before="0" w:after="0" w:line="360" w:lineRule="auto"/>
        <w:rPr>
          <w:rFonts w:ascii="华文楷体" w:hAnsi="华文楷体" w:eastAsia="华文楷体" w:cs="宋体"/>
          <w:sz w:val="24"/>
          <w:szCs w:val="24"/>
        </w:rPr>
      </w:pPr>
      <w:bookmarkStart w:id="10" w:name="_Toc22399"/>
      <w:bookmarkStart w:id="11" w:name="_Toc15727"/>
      <w:bookmarkStart w:id="12" w:name="_Toc25190"/>
      <w:bookmarkStart w:id="13" w:name="_Toc19437"/>
      <w:bookmarkStart w:id="14" w:name="_Toc6462"/>
      <w:bookmarkStart w:id="15" w:name="_Toc1790"/>
      <w:bookmarkStart w:id="16" w:name="_Toc15576"/>
      <w:bookmarkStart w:id="17" w:name="_Toc317775178"/>
      <w:bookmarkStart w:id="18" w:name="_Toc373860293"/>
    </w:p>
    <w:p>
      <w:pPr>
        <w:pStyle w:val="5"/>
        <w:spacing w:before="0" w:after="0" w:line="360" w:lineRule="auto"/>
        <w:ind w:firstLine="643" w:firstLineChars="200"/>
        <w:rPr>
          <w:rFonts w:ascii="楷体" w:hAnsi="楷体" w:eastAsia="楷体" w:cs="黑体"/>
          <w:szCs w:val="32"/>
        </w:rPr>
      </w:pPr>
      <w:r>
        <w:rPr>
          <w:rFonts w:hint="eastAsia" w:ascii="楷体" w:hAnsi="楷体" w:eastAsia="楷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楷体" w:hAnsi="楷体" w:eastAsia="楷体" w:cs="黑体"/>
          <w:szCs w:val="32"/>
        </w:rPr>
        <w:t>供应商资格条件</w:t>
      </w:r>
    </w:p>
    <w:p>
      <w:pPr>
        <w:snapToGrid w:val="0"/>
        <w:spacing w:line="360" w:lineRule="auto"/>
        <w:ind w:firstLine="640" w:firstLineChars="200"/>
        <w:rPr>
          <w:rFonts w:ascii="华文楷体" w:hAnsi="华文楷体" w:eastAsia="华文楷体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（二）本项目的特定资格要求：无。</w:t>
      </w:r>
      <w:bookmarkEnd w:id="17"/>
      <w:bookmarkEnd w:id="18"/>
    </w:p>
    <w:p>
      <w:pPr>
        <w:pStyle w:val="4"/>
        <w:spacing w:line="500" w:lineRule="exact"/>
        <w:ind w:firstLine="643" w:firstLineChars="200"/>
        <w:rPr>
          <w:rFonts w:ascii="楷体" w:hAnsi="楷体" w:eastAsia="楷体" w:cs="黑体"/>
          <w:szCs w:val="32"/>
        </w:rPr>
      </w:pPr>
      <w:r>
        <w:rPr>
          <w:rFonts w:hint="eastAsia" w:ascii="楷体" w:hAnsi="楷体" w:eastAsia="楷体" w:cs="黑体"/>
          <w:szCs w:val="32"/>
        </w:rPr>
        <w:t>三、询价有关说明</w:t>
      </w:r>
    </w:p>
    <w:p>
      <w:pPr>
        <w:snapToGrid w:val="0"/>
        <w:spacing w:line="400" w:lineRule="exact"/>
        <w:ind w:firstLine="480" w:firstLineChars="200"/>
        <w:rPr>
          <w:rFonts w:ascii="华文楷体" w:hAnsi="华文楷体" w:eastAsia="华文楷体" w:cs="宋体"/>
          <w:sz w:val="24"/>
          <w:szCs w:val="24"/>
        </w:rPr>
      </w:pPr>
      <w:bookmarkStart w:id="19" w:name="_Toc447805821"/>
      <w:r>
        <w:rPr>
          <w:rFonts w:hint="eastAsia" w:ascii="华文楷体" w:hAnsi="华文楷体" w:eastAsia="华文楷体" w:cs="宋体"/>
          <w:sz w:val="24"/>
          <w:szCs w:val="24"/>
        </w:rPr>
        <w:t>（一）凡有意参加询价的供应商，请于公告发布之日起至提交首次响应文件截止时间之前，请在重庆市黔江区民族职业教育中心官网（http://www.qjzjzx.com）下载本项目询价通知书以及图纸、补遗等询价前公布的所有项目资料，无论供应商领取或下载与否，均视为已知晓所有招标内容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宋体"/>
          <w:sz w:val="24"/>
          <w:szCs w:val="24"/>
        </w:rPr>
      </w:pPr>
      <w:r>
        <w:rPr>
          <w:rFonts w:hint="eastAsia" w:ascii="华文楷体" w:hAnsi="华文楷体" w:eastAsia="华文楷体" w:cs="宋体"/>
          <w:sz w:val="24"/>
          <w:szCs w:val="24"/>
        </w:rPr>
        <w:t>（二）询价公告期限：自采购公告发布之日起三个工作日。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宋体"/>
          <w:sz w:val="24"/>
          <w:szCs w:val="24"/>
        </w:rPr>
      </w:pPr>
      <w:r>
        <w:rPr>
          <w:rFonts w:hint="eastAsia" w:ascii="华文楷体" w:hAnsi="华文楷体" w:eastAsia="华文楷体" w:cs="宋体"/>
          <w:sz w:val="24"/>
          <w:szCs w:val="24"/>
        </w:rPr>
        <w:t>（三）供应商须满足以下三种要件，其询价才被接受：</w:t>
      </w:r>
    </w:p>
    <w:p>
      <w:pPr>
        <w:spacing w:line="40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1. 按时提交响应文件；</w:t>
      </w:r>
    </w:p>
    <w:p>
      <w:pPr>
        <w:spacing w:line="40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2. 按时报名并签名;</w:t>
      </w:r>
    </w:p>
    <w:p>
      <w:pPr>
        <w:spacing w:line="40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3. 按时缴纳投标保证金;</w:t>
      </w:r>
    </w:p>
    <w:p>
      <w:pPr>
        <w:spacing w:line="40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bookmarkStart w:id="20" w:name="_Toc79656095"/>
      <w:r>
        <w:rPr>
          <w:rFonts w:hint="eastAsia" w:ascii="华文楷体" w:hAnsi="华文楷体" w:eastAsia="华文楷体" w:cs="宋体"/>
          <w:sz w:val="24"/>
          <w:szCs w:val="24"/>
        </w:rPr>
        <w:t>（五）询价地点：黔江职教中心</w:t>
      </w:r>
      <w:r>
        <w:rPr>
          <w:rFonts w:hint="eastAsia" w:ascii="华文楷体" w:hAnsi="华文楷体" w:eastAsia="华文楷体"/>
          <w:sz w:val="24"/>
          <w:szCs w:val="24"/>
        </w:rPr>
        <w:t>招投标室（生活辅助用房310室）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宋体"/>
          <w:sz w:val="24"/>
          <w:szCs w:val="24"/>
        </w:rPr>
      </w:pPr>
      <w:r>
        <w:rPr>
          <w:rFonts w:hint="eastAsia" w:ascii="华文楷体" w:hAnsi="华文楷体" w:eastAsia="华文楷体" w:cs="宋体"/>
          <w:sz w:val="24"/>
          <w:szCs w:val="24"/>
        </w:rPr>
        <w:t xml:space="preserve">（六）询价截止时间：2023年 </w:t>
      </w:r>
      <w:r>
        <w:rPr>
          <w:rFonts w:hint="eastAsia" w:ascii="华文楷体" w:hAnsi="华文楷体" w:eastAsia="华文楷体" w:cs="宋体"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宋体"/>
          <w:sz w:val="24"/>
          <w:szCs w:val="24"/>
        </w:rPr>
        <w:t xml:space="preserve"> 月  </w:t>
      </w:r>
      <w:r>
        <w:rPr>
          <w:rFonts w:hint="eastAsia" w:ascii="华文楷体" w:hAnsi="华文楷体" w:eastAsia="华文楷体" w:cs="宋体"/>
          <w:sz w:val="24"/>
          <w:szCs w:val="24"/>
          <w:lang w:val="en-US" w:eastAsia="zh-CN"/>
        </w:rPr>
        <w:t>12</w:t>
      </w:r>
      <w:r>
        <w:rPr>
          <w:rFonts w:hint="eastAsia" w:ascii="华文楷体" w:hAnsi="华文楷体" w:eastAsia="华文楷体" w:cs="宋体"/>
          <w:sz w:val="24"/>
          <w:szCs w:val="24"/>
        </w:rPr>
        <w:t xml:space="preserve"> 日北京时间9:30。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宋体"/>
          <w:sz w:val="24"/>
          <w:szCs w:val="24"/>
        </w:rPr>
      </w:pPr>
      <w:r>
        <w:rPr>
          <w:rFonts w:hint="eastAsia" w:ascii="华文楷体" w:hAnsi="华文楷体" w:eastAsia="华文楷体" w:cs="宋体"/>
          <w:sz w:val="24"/>
          <w:szCs w:val="24"/>
        </w:rPr>
        <w:t xml:space="preserve">（七）询价时间：2023年 </w:t>
      </w:r>
      <w:r>
        <w:rPr>
          <w:rFonts w:hint="eastAsia" w:ascii="华文楷体" w:hAnsi="华文楷体" w:eastAsia="华文楷体" w:cs="宋体"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宋体"/>
          <w:sz w:val="24"/>
          <w:szCs w:val="24"/>
        </w:rPr>
        <w:t xml:space="preserve"> 月  </w:t>
      </w:r>
      <w:r>
        <w:rPr>
          <w:rFonts w:hint="eastAsia" w:ascii="华文楷体" w:hAnsi="华文楷体" w:eastAsia="华文楷体" w:cs="宋体"/>
          <w:sz w:val="24"/>
          <w:szCs w:val="24"/>
          <w:lang w:val="en-US" w:eastAsia="zh-CN"/>
        </w:rPr>
        <w:t>12</w:t>
      </w:r>
      <w:r>
        <w:rPr>
          <w:rFonts w:hint="eastAsia" w:ascii="华文楷体" w:hAnsi="华文楷体" w:eastAsia="华文楷体" w:cs="宋体"/>
          <w:sz w:val="24"/>
          <w:szCs w:val="24"/>
        </w:rPr>
        <w:t xml:space="preserve"> 日北京时间9:30</w:t>
      </w:r>
    </w:p>
    <w:bookmarkEnd w:id="19"/>
    <w:bookmarkEnd w:id="20"/>
    <w:p>
      <w:pPr>
        <w:pStyle w:val="4"/>
        <w:spacing w:line="500" w:lineRule="exact"/>
        <w:ind w:firstLine="643" w:firstLineChars="200"/>
        <w:rPr>
          <w:rFonts w:ascii="楷体" w:hAnsi="楷体" w:eastAsia="楷体" w:cs="黑体"/>
          <w:szCs w:val="32"/>
        </w:rPr>
      </w:pPr>
      <w:r>
        <w:rPr>
          <w:rFonts w:hint="eastAsia" w:ascii="楷体" w:hAnsi="楷体" w:eastAsia="楷体" w:cs="黑体"/>
          <w:szCs w:val="32"/>
        </w:rPr>
        <w:t>四、询价保证金</w:t>
      </w:r>
    </w:p>
    <w:p>
      <w:pPr>
        <w:spacing w:line="360" w:lineRule="exact"/>
        <w:ind w:firstLine="480" w:firstLineChars="200"/>
        <w:rPr>
          <w:rFonts w:ascii="华文楷体" w:hAnsi="华文楷体" w:eastAsia="华文楷体" w:cs="宋体"/>
          <w:sz w:val="24"/>
          <w:szCs w:val="24"/>
        </w:rPr>
      </w:pPr>
      <w:r>
        <w:rPr>
          <w:rFonts w:hint="eastAsia" w:ascii="华文楷体" w:hAnsi="华文楷体" w:eastAsia="华文楷体" w:cs="宋体"/>
          <w:sz w:val="24"/>
          <w:szCs w:val="24"/>
        </w:rPr>
        <w:t>（一）询价保证金交款形式：</w:t>
      </w:r>
    </w:p>
    <w:p>
      <w:pPr>
        <w:spacing w:line="360" w:lineRule="exact"/>
        <w:ind w:firstLine="960" w:firstLineChars="4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投标保证金现场现金缴纳（财务科电话：023-85086300）</w:t>
      </w:r>
    </w:p>
    <w:p>
      <w:pPr>
        <w:spacing w:line="36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（二）询价保证金金额</w:t>
      </w:r>
    </w:p>
    <w:p>
      <w:pPr>
        <w:spacing w:line="36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        保证金人民币￥3000元，大写：叁仟元整</w:t>
      </w:r>
    </w:p>
    <w:p>
      <w:pPr>
        <w:spacing w:line="36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（三）保证金退还方式</w:t>
      </w:r>
    </w:p>
    <w:p>
      <w:pPr>
        <w:spacing w:line="36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1. 未中标供应商的询价保证金，采购人在开标结束后现场退还。</w:t>
      </w:r>
    </w:p>
    <w:p>
      <w:pPr>
        <w:pStyle w:val="2"/>
        <w:ind w:firstLine="480" w:firstLineChars="2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szCs w:val="24"/>
        </w:rPr>
        <w:t>2. 中标人的询价保证金，在中标人与采购人签订合同后，中标人凭采购合同、银行缴款凭证向采购人办理询价保证金退还申请，在7个工作日内无息退还。</w:t>
      </w: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五、具体技术参数</w:t>
      </w:r>
    </w:p>
    <w:tbl>
      <w:tblPr>
        <w:tblStyle w:val="58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010"/>
        <w:gridCol w:w="5237"/>
        <w:gridCol w:w="993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65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序号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设备类别</w:t>
            </w:r>
          </w:p>
        </w:tc>
        <w:tc>
          <w:tcPr>
            <w:tcW w:w="5237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需求参数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单场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限价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演出场地自备小型舞台</w:t>
            </w:r>
          </w:p>
        </w:tc>
        <w:tc>
          <w:tcPr>
            <w:tcW w:w="5237" w:type="dxa"/>
            <w:vAlign w:val="center"/>
          </w:tcPr>
          <w:p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演出场地原有舞台的基础上，提供5.5米高、11米宽的背景架搭建；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提供85平方米左右舞台面地毯铺设，厚度不能低于8毫米；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舞台灯光搭建，包含全彩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10W帕灯20台、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360W光束灯20台、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880W追光灯2台，灯架、烟雾机等配套设施及相关专业操作人员；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提供1拖4舞台头挂式耳麦；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协助运输整套音响扩音设备，并提供搭建、音控及演出期间管理工作；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协助运输服装道具。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5000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适用规模500余人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演出场地自备大型舞台</w:t>
            </w:r>
          </w:p>
        </w:tc>
        <w:tc>
          <w:tcPr>
            <w:tcW w:w="523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1、演出场地原有舞台的基础上，提供5.5米高、11米宽的背景架搭建。提供2个5米高、3米宽的耳幕搭建；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2、提供120平方米左右舞台面地毯铺设，厚度不能低于8毫米；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3、舞台灯光搭建，包含全彩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10W帕灯30台、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360W光束灯30台、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880W追光灯2台，灯架、烟雾机等配套设施及相关专业操作人员；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4、提供1拖4舞台头挂式耳麦；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5、协助运输整套音响扩音设备，并提供搭建、音控及演出期间管理工作；</w:t>
            </w: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6、协助运输服装道具。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6000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适用规模1000余人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需搭建小型舞台</w:t>
            </w:r>
          </w:p>
        </w:tc>
        <w:tc>
          <w:tcPr>
            <w:tcW w:w="5237" w:type="dxa"/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提供10米长、6米宽、0.8米高的舞台搭建并提供不低于8毫米厚度的地毯铺设；</w:t>
            </w:r>
          </w:p>
          <w:p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提供5.5米高、11米宽的背景架搭建；</w:t>
            </w:r>
          </w:p>
          <w:p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舞台灯光搭建，包含全彩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10W帕灯20台、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360W光束灯20台、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880W追光灯2台，灯架、烟雾机等配套设施及相关专业操作人员；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4、提供1拖4舞台头挂式耳麦；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5、协助运输整套音响扩音设备，并提供搭建、音控及演出期间管理工作；</w:t>
            </w: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6、协助运输服装道具。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7000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适用规模500余人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4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需搭建大型舞台</w:t>
            </w:r>
          </w:p>
        </w:tc>
        <w:tc>
          <w:tcPr>
            <w:tcW w:w="523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1、提供12米长、7米宽、0.8米高的舞台搭建并提供不低于8毫米厚度的地毯铺设；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2、提供5.5米高、11米宽的背景架搭建。提供2个5米高、3米宽的耳幕搭建；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3、舞台灯光搭建，包含全彩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10W帕灯30台、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360W光束灯30台、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880W追光灯2台，灯架、烟雾机等配套设施及相关专业操作人员；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4、提供1拖4舞台头挂式耳麦；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5、协助运输整套音响扩音设备，并提供搭建、音控及演出期间管理工作；</w:t>
            </w:r>
          </w:p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6、协助运输服装道具。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8500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适用规模1500余人</w:t>
            </w:r>
          </w:p>
        </w:tc>
      </w:tr>
    </w:tbl>
    <w:p>
      <w:pPr>
        <w:rPr>
          <w:rFonts w:ascii="华文楷体" w:hAnsi="华文楷体" w:eastAsia="华文楷体"/>
        </w:rPr>
      </w:pPr>
    </w:p>
    <w:p>
      <w:pPr>
        <w:spacing w:line="36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bookmarkStart w:id="21" w:name="_Toc6952"/>
      <w:bookmarkEnd w:id="21"/>
    </w:p>
    <w:p>
      <w:pPr>
        <w:rPr>
          <w:rFonts w:ascii="华文楷体" w:hAnsi="华文楷体" w:eastAsia="华文楷体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六、质量保证及服务要求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kern w:val="0"/>
          <w:sz w:val="32"/>
          <w:szCs w:val="32"/>
        </w:rPr>
      </w:pPr>
      <w:r>
        <w:rPr>
          <w:rFonts w:hint="eastAsia" w:ascii="华文楷体" w:hAnsi="华文楷体" w:eastAsia="华文楷体" w:cs="仿宋_GB2312"/>
          <w:kern w:val="0"/>
          <w:sz w:val="28"/>
          <w:szCs w:val="28"/>
        </w:rPr>
        <w:t xml:space="preserve">（一）服务商所供服务产品名称、规格、数量、质量要求、生产企业与招标文件要求相符。 </w:t>
      </w:r>
    </w:p>
    <w:p>
      <w:pPr>
        <w:pStyle w:val="5"/>
        <w:spacing w:before="0" w:after="0" w:line="360" w:lineRule="auto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七、服务时间及地点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（一）服务时间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按采购人通知时间为准。</w:t>
      </w:r>
    </w:p>
    <w:p>
      <w:pPr>
        <w:snapToGrid w:val="0"/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（二）服务地点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按采购人通知地点为准。</w:t>
      </w: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八、验收方式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服务结束后，项目责任部门出具验收报告并附结算清单。</w:t>
      </w: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九、报价要求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本次报价为下浮比例报价，包含：货物费、运输费、安装调试费、装卸费、培训费、保险费、税费（含关税）等所有费用。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八、供应商响应文件要求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供应商必须按要求递交响应文件，未按要求提供的视为无效供应商。</w:t>
      </w: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九、成交规则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采购人在符合审查的供应商中，报价比例最低的成为成交服务商。</w:t>
      </w: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十、付款方式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（一）合同签订前成交供应商向采购人缴纳5000元履约金，服务期满后，无服务质量问题，10个工作日内退还。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（二）成交供应商向采购人提供税务部门开具的发票，提交采购合同、验收报告向采购人申请付款；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（三）对成交供应商提交的付款资料审核通过后，以转账方式向成交供应商支付合同款项；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（四）本项目支付办法及比例：项目服务完成且验收合格后20个工作日内支付合同总金额的100%。</w:t>
      </w:r>
      <w:bookmarkStart w:id="22" w:name="_Toc3166"/>
      <w:bookmarkStart w:id="23" w:name="_Toc26971"/>
    </w:p>
    <w:bookmarkEnd w:id="22"/>
    <w:bookmarkEnd w:id="23"/>
    <w:p>
      <w:pPr>
        <w:snapToGrid w:val="0"/>
        <w:spacing w:line="360" w:lineRule="auto"/>
        <w:ind w:firstLine="420"/>
        <w:rPr>
          <w:rFonts w:ascii="华文楷体" w:hAnsi="华文楷体" w:eastAsia="华文楷体" w:cs="仿宋_GB2312"/>
          <w:b/>
          <w:bCs/>
          <w:i/>
          <w:iCs/>
          <w:color w:val="FF0000"/>
          <w:sz w:val="32"/>
          <w:szCs w:val="32"/>
          <w:u w:val="single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bookmarkStart w:id="24" w:name="_Toc5085"/>
      <w:bookmarkStart w:id="25" w:name="_Toc25886"/>
      <w:bookmarkStart w:id="26" w:name="_Toc3475"/>
      <w:bookmarkStart w:id="27" w:name="_Toc9654"/>
      <w:bookmarkStart w:id="28" w:name="_Toc11828"/>
      <w:bookmarkStart w:id="29" w:name="_Toc20778"/>
      <w:bookmarkStart w:id="30" w:name="_Toc27955"/>
      <w:bookmarkStart w:id="31" w:name="_Toc25516"/>
      <w:bookmarkStart w:id="32" w:name="_Toc15478"/>
      <w:bookmarkStart w:id="33" w:name="_Toc13969"/>
      <w:bookmarkStart w:id="34" w:name="_Toc31315"/>
      <w:bookmarkStart w:id="35" w:name="_Toc14778"/>
      <w:bookmarkStart w:id="36" w:name="_Toc19730"/>
      <w:bookmarkStart w:id="37" w:name="_Toc9027"/>
      <w:r>
        <w:rPr>
          <w:rFonts w:hint="eastAsia" w:ascii="华文楷体" w:hAnsi="华文楷体" w:eastAsia="华文楷体" w:cs="黑体"/>
          <w:szCs w:val="32"/>
        </w:rPr>
        <w:t>十一、联系方式</w:t>
      </w:r>
      <w:bookmarkEnd w:id="24"/>
      <w:bookmarkEnd w:id="25"/>
      <w:bookmarkEnd w:id="26"/>
      <w:bookmarkEnd w:id="27"/>
      <w:bookmarkEnd w:id="28"/>
      <w:bookmarkEnd w:id="29"/>
      <w:bookmarkEnd w:id="30"/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采购单位：黔江区民族职业教育中心</w:t>
      </w:r>
    </w:p>
    <w:p>
      <w:pPr>
        <w:snapToGrid w:val="0"/>
        <w:spacing w:line="360" w:lineRule="auto"/>
        <w:ind w:firstLine="560" w:firstLineChars="200"/>
        <w:rPr>
          <w:rFonts w:ascii="华文楷体" w:hAnsi="华文楷体" w:eastAsia="华文楷体" w:cs="仿宋_GB2312"/>
          <w:sz w:val="28"/>
          <w:szCs w:val="28"/>
        </w:rPr>
      </w:pPr>
      <w:r>
        <w:rPr>
          <w:rFonts w:hint="eastAsia" w:ascii="华文楷体" w:hAnsi="华文楷体" w:eastAsia="华文楷体" w:cs="仿宋_GB2312"/>
          <w:sz w:val="28"/>
          <w:szCs w:val="28"/>
        </w:rPr>
        <w:t>联系人：付老师      联系电话：85086317</w:t>
      </w:r>
    </w:p>
    <w:p>
      <w:pPr>
        <w:pStyle w:val="2"/>
        <w:ind w:firstLine="560" w:firstLineChars="200"/>
        <w:rPr>
          <w:rFonts w:hint="default" w:ascii="华文楷体" w:hAnsi="华文楷体" w:eastAsia="华文楷体" w:cs="仿宋_GB2312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仿宋_GB2312"/>
          <w:color w:val="auto"/>
          <w:kern w:val="2"/>
          <w:sz w:val="28"/>
          <w:szCs w:val="28"/>
        </w:rPr>
        <w:t>项目联系人：李老师   联系电话：</w:t>
      </w:r>
      <w:r>
        <w:rPr>
          <w:rFonts w:hint="eastAsia" w:ascii="华文楷体" w:hAnsi="华文楷体" w:eastAsia="华文楷体" w:cs="仿宋_GB2312"/>
          <w:color w:val="auto"/>
          <w:kern w:val="2"/>
          <w:sz w:val="28"/>
          <w:szCs w:val="28"/>
          <w:lang w:val="en-US" w:eastAsia="zh-CN"/>
        </w:rPr>
        <w:t>18580903435</w:t>
      </w: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</w:p>
    <w:bookmarkEnd w:id="31"/>
    <w:bookmarkEnd w:id="32"/>
    <w:bookmarkEnd w:id="33"/>
    <w:bookmarkEnd w:id="34"/>
    <w:bookmarkEnd w:id="35"/>
    <w:bookmarkEnd w:id="36"/>
    <w:bookmarkEnd w:id="37"/>
    <w:p>
      <w:pPr>
        <w:snapToGrid w:val="0"/>
        <w:spacing w:line="360" w:lineRule="auto"/>
        <w:jc w:val="center"/>
        <w:rPr>
          <w:rFonts w:ascii="华文楷体" w:hAnsi="华文楷体" w:eastAsia="华文楷体"/>
          <w:sz w:val="44"/>
          <w:szCs w:val="44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华文楷体" w:hAnsi="华文楷体" w:eastAsia="华文楷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华文楷体" w:hAnsi="华文楷体" w:eastAsia="华文楷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华文楷体" w:hAnsi="华文楷体" w:eastAsia="华文楷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华文楷体" w:hAnsi="华文楷体" w:eastAsia="华文楷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华文楷体" w:hAnsi="华文楷体" w:eastAsia="华文楷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一、报价</w:t>
      </w:r>
    </w:p>
    <w:p>
      <w:pPr>
        <w:snapToGrid w:val="0"/>
        <w:ind w:firstLine="420"/>
        <w:rPr>
          <w:rFonts w:ascii="华文楷体" w:hAnsi="华文楷体" w:eastAsia="华文楷体" w:cs="宋体"/>
          <w:color w:val="FF0000"/>
          <w:sz w:val="24"/>
          <w:szCs w:val="24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华文楷体" w:hAnsi="华文楷体" w:eastAsia="华文楷体" w:cs="黑体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报 价 函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spacing w:line="480" w:lineRule="exact"/>
        <w:rPr>
          <w:rStyle w:val="65"/>
          <w:rFonts w:ascii="华文楷体" w:hAnsi="华文楷体" w:eastAsia="华文楷体" w:cs="仿宋_GB2312"/>
          <w:sz w:val="32"/>
          <w:szCs w:val="32"/>
        </w:rPr>
      </w:pPr>
      <w:r>
        <w:rPr>
          <w:rStyle w:val="65"/>
          <w:rFonts w:hint="eastAsia" w:ascii="华文楷体" w:hAnsi="华文楷体" w:eastAsia="华文楷体" w:cs="仿宋_GB2312"/>
          <w:color w:val="auto"/>
          <w:sz w:val="32"/>
          <w:szCs w:val="32"/>
        </w:rPr>
        <w:t>（采购单位名称）：</w:t>
      </w:r>
    </w:p>
    <w:p>
      <w:pPr>
        <w:spacing w:line="480" w:lineRule="exact"/>
        <w:ind w:firstLine="640" w:firstLineChars="200"/>
        <w:rPr>
          <w:rStyle w:val="65"/>
          <w:rFonts w:ascii="华文楷体" w:hAnsi="华文楷体" w:eastAsia="华文楷体" w:cs="仿宋_GB2312"/>
          <w:sz w:val="32"/>
          <w:szCs w:val="32"/>
        </w:rPr>
      </w:pP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我方收到（项目名称）的询价采购文件，经详细研究，决定参加该项目。</w:t>
      </w:r>
    </w:p>
    <w:p>
      <w:pPr>
        <w:spacing w:line="480" w:lineRule="exact"/>
        <w:ind w:firstLine="640" w:firstLineChars="200"/>
        <w:rPr>
          <w:rStyle w:val="65"/>
          <w:rFonts w:ascii="华文楷体" w:hAnsi="华文楷体" w:eastAsia="华文楷体" w:cs="仿宋_GB2312"/>
          <w:sz w:val="32"/>
          <w:szCs w:val="32"/>
        </w:rPr>
      </w:pPr>
      <w:r>
        <w:rPr>
          <w:rStyle w:val="65"/>
          <w:rFonts w:ascii="华文楷体" w:hAnsi="华文楷体" w:eastAsia="华文楷体" w:cs="仿宋_GB2312"/>
          <w:sz w:val="32"/>
          <w:szCs w:val="32"/>
        </w:rPr>
        <w:t>1</w:t>
      </w: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.愿意按照询价采购文件中的一切要求，提供本项目的商品、及服务，报价下浮比例为大写：      ；小写    % 。</w:t>
      </w:r>
    </w:p>
    <w:p>
      <w:pPr>
        <w:spacing w:line="480" w:lineRule="exact"/>
        <w:ind w:firstLine="640" w:firstLineChars="200"/>
        <w:rPr>
          <w:rStyle w:val="65"/>
          <w:rFonts w:ascii="华文楷体" w:hAnsi="华文楷体" w:eastAsia="华文楷体" w:cs="仿宋_GB2312"/>
          <w:color w:val="auto"/>
          <w:sz w:val="32"/>
          <w:szCs w:val="32"/>
        </w:rPr>
      </w:pP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2</w:t>
      </w:r>
      <w:r>
        <w:rPr>
          <w:rStyle w:val="65"/>
          <w:rFonts w:ascii="华文楷体" w:hAnsi="华文楷体" w:eastAsia="华文楷体" w:cs="仿宋_GB2312"/>
          <w:sz w:val="32"/>
          <w:szCs w:val="32"/>
        </w:rPr>
        <w:t>.</w:t>
      </w: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我方现提交的响应文件为：</w:t>
      </w:r>
      <w:r>
        <w:rPr>
          <w:rStyle w:val="65"/>
          <w:rFonts w:hint="eastAsia" w:ascii="华文楷体" w:hAnsi="华文楷体" w:eastAsia="华文楷体" w:cs="仿宋_GB2312"/>
          <w:color w:val="auto"/>
          <w:sz w:val="32"/>
          <w:szCs w:val="32"/>
        </w:rPr>
        <w:t>响应文件正本壹份。</w:t>
      </w:r>
    </w:p>
    <w:p>
      <w:pPr>
        <w:spacing w:line="480" w:lineRule="exact"/>
        <w:ind w:firstLine="640" w:firstLineChars="200"/>
        <w:rPr>
          <w:rStyle w:val="65"/>
          <w:rFonts w:ascii="华文楷体" w:hAnsi="华文楷体" w:eastAsia="华文楷体" w:cs="仿宋_GB2312"/>
          <w:color w:val="auto"/>
          <w:sz w:val="32"/>
          <w:szCs w:val="32"/>
        </w:rPr>
      </w:pPr>
      <w:r>
        <w:rPr>
          <w:rStyle w:val="65"/>
          <w:rFonts w:hint="eastAsia" w:ascii="华文楷体" w:hAnsi="华文楷体" w:eastAsia="华文楷体" w:cs="仿宋_GB2312"/>
          <w:color w:val="auto"/>
          <w:sz w:val="32"/>
          <w:szCs w:val="32"/>
        </w:rPr>
        <w:t>3</w:t>
      </w:r>
      <w:r>
        <w:rPr>
          <w:rStyle w:val="65"/>
          <w:rFonts w:ascii="华文楷体" w:hAnsi="华文楷体" w:eastAsia="华文楷体" w:cs="仿宋_GB2312"/>
          <w:color w:val="auto"/>
          <w:sz w:val="32"/>
          <w:szCs w:val="32"/>
        </w:rPr>
        <w:t>.</w:t>
      </w:r>
      <w:r>
        <w:rPr>
          <w:rStyle w:val="65"/>
          <w:rFonts w:hint="eastAsia" w:ascii="华文楷体" w:hAnsi="华文楷体" w:eastAsia="华文楷体" w:cs="仿宋_GB2312"/>
          <w:color w:val="auto"/>
          <w:sz w:val="32"/>
          <w:szCs w:val="32"/>
        </w:rPr>
        <w:t>我方承诺：本次报价的有效期为90天。</w:t>
      </w:r>
    </w:p>
    <w:p>
      <w:pPr>
        <w:spacing w:line="480" w:lineRule="exact"/>
        <w:ind w:firstLine="640" w:firstLineChars="200"/>
        <w:rPr>
          <w:rStyle w:val="65"/>
          <w:rFonts w:ascii="华文楷体" w:hAnsi="华文楷体" w:eastAsia="华文楷体" w:cs="仿宋_GB2312"/>
          <w:sz w:val="32"/>
          <w:szCs w:val="32"/>
        </w:rPr>
      </w:pP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4</w:t>
      </w:r>
      <w:r>
        <w:rPr>
          <w:rStyle w:val="65"/>
          <w:rFonts w:ascii="华文楷体" w:hAnsi="华文楷体" w:eastAsia="华文楷体" w:cs="仿宋_GB2312"/>
          <w:sz w:val="32"/>
          <w:szCs w:val="32"/>
        </w:rPr>
        <w:t>.</w:t>
      </w: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我方完全理解和接受询价采购文件的一切规定、要求和评审办法。</w:t>
      </w:r>
    </w:p>
    <w:p>
      <w:pPr>
        <w:spacing w:line="480" w:lineRule="exact"/>
        <w:ind w:firstLine="640" w:firstLineChars="200"/>
        <w:rPr>
          <w:rStyle w:val="65"/>
          <w:rFonts w:ascii="华文楷体" w:hAnsi="华文楷体" w:eastAsia="华文楷体" w:cs="仿宋_GB2312"/>
          <w:sz w:val="32"/>
          <w:szCs w:val="32"/>
        </w:rPr>
      </w:pP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5</w:t>
      </w:r>
      <w:r>
        <w:rPr>
          <w:rStyle w:val="65"/>
          <w:rFonts w:ascii="华文楷体" w:hAnsi="华文楷体" w:eastAsia="华文楷体" w:cs="仿宋_GB2312"/>
          <w:sz w:val="32"/>
          <w:szCs w:val="32"/>
        </w:rPr>
        <w:t>.</w:t>
      </w: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在整个采购过程中，我方若有违规行为，愿意接受重庆市政府采购相关管理方的处罚。</w:t>
      </w:r>
    </w:p>
    <w:p>
      <w:pPr>
        <w:spacing w:line="480" w:lineRule="exact"/>
        <w:ind w:firstLine="640" w:firstLineChars="200"/>
        <w:rPr>
          <w:rStyle w:val="65"/>
          <w:rFonts w:ascii="华文楷体" w:hAnsi="华文楷体" w:eastAsia="华文楷体" w:cs="仿宋_GB2312"/>
          <w:sz w:val="32"/>
          <w:szCs w:val="32"/>
        </w:rPr>
      </w:pP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6</w:t>
      </w:r>
      <w:r>
        <w:rPr>
          <w:rStyle w:val="65"/>
          <w:rFonts w:ascii="华文楷体" w:hAnsi="华文楷体" w:eastAsia="华文楷体" w:cs="仿宋_GB2312"/>
          <w:sz w:val="32"/>
          <w:szCs w:val="32"/>
        </w:rPr>
        <w:t>.</w:t>
      </w: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我方若中选，将按照询价采购结果签订合同，并且严格履行合同义务。本承诺函将成为合同不可分割的一部分，与合同具有同等的法律效力。</w:t>
      </w:r>
    </w:p>
    <w:p>
      <w:pPr>
        <w:spacing w:line="480" w:lineRule="exact"/>
        <w:ind w:firstLine="640" w:firstLineChars="200"/>
        <w:rPr>
          <w:rStyle w:val="65"/>
          <w:rFonts w:ascii="华文楷体" w:hAnsi="华文楷体" w:eastAsia="华文楷体" w:cs="仿宋_GB2312"/>
          <w:sz w:val="32"/>
          <w:szCs w:val="32"/>
        </w:rPr>
      </w:pP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7</w:t>
      </w:r>
      <w:r>
        <w:rPr>
          <w:rStyle w:val="65"/>
          <w:rFonts w:ascii="华文楷体" w:hAnsi="华文楷体" w:eastAsia="华文楷体" w:cs="仿宋_GB2312"/>
          <w:sz w:val="32"/>
          <w:szCs w:val="32"/>
        </w:rPr>
        <w:t>.</w:t>
      </w: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我方理解，最低下浮比例不是成交的唯一条件。</w:t>
      </w:r>
    </w:p>
    <w:p>
      <w:pPr>
        <w:pStyle w:val="2"/>
        <w:spacing w:line="480" w:lineRule="exact"/>
        <w:rPr>
          <w:rFonts w:ascii="华文楷体" w:hAnsi="华文楷体" w:eastAsia="华文楷体"/>
        </w:rPr>
      </w:pPr>
    </w:p>
    <w:p>
      <w:pPr>
        <w:spacing w:line="480" w:lineRule="exact"/>
        <w:ind w:firstLine="640" w:firstLineChars="200"/>
        <w:jc w:val="right"/>
        <w:rPr>
          <w:rStyle w:val="65"/>
          <w:rFonts w:ascii="华文楷体" w:hAnsi="华文楷体" w:eastAsia="华文楷体" w:cs="仿宋_GB2312"/>
          <w:sz w:val="32"/>
          <w:szCs w:val="32"/>
        </w:rPr>
      </w:pP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>供应商名称（公章）：</w:t>
      </w:r>
    </w:p>
    <w:p>
      <w:pPr>
        <w:spacing w:line="480" w:lineRule="exact"/>
        <w:ind w:firstLine="640" w:firstLineChars="200"/>
        <w:jc w:val="center"/>
        <w:rPr>
          <w:rFonts w:ascii="华文楷体" w:hAnsi="华文楷体" w:eastAsia="华文楷体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 xml:space="preserve">            </w:t>
      </w:r>
      <w:r>
        <w:rPr>
          <w:rStyle w:val="65"/>
          <w:rFonts w:hint="eastAsia" w:ascii="华文楷体" w:hAnsi="华文楷体" w:eastAsia="华文楷体" w:cs="仿宋_GB2312"/>
          <w:sz w:val="32"/>
          <w:szCs w:val="32"/>
          <w:lang w:val="en-US" w:eastAsia="zh-CN"/>
        </w:rPr>
        <w:t xml:space="preserve">                    </w:t>
      </w:r>
      <w:r>
        <w:rPr>
          <w:rStyle w:val="65"/>
          <w:rFonts w:hint="eastAsia" w:ascii="华文楷体" w:hAnsi="华文楷体" w:eastAsia="华文楷体" w:cs="仿宋_GB2312"/>
          <w:sz w:val="32"/>
          <w:szCs w:val="32"/>
        </w:rPr>
        <w:t xml:space="preserve"> 年  月  日</w:t>
      </w:r>
    </w:p>
    <w:p>
      <w:pPr>
        <w:snapToGrid w:val="0"/>
        <w:spacing w:line="360" w:lineRule="auto"/>
        <w:ind w:firstLine="420"/>
        <w:rPr>
          <w:rFonts w:ascii="华文楷体" w:hAnsi="华文楷体" w:eastAsia="华文楷体" w:cs="方正仿宋_GBK"/>
          <w:sz w:val="24"/>
          <w:szCs w:val="24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 xml:space="preserve">（二）明细报价表   </w:t>
      </w:r>
    </w:p>
    <w:p>
      <w:pPr>
        <w:pStyle w:val="5"/>
        <w:spacing w:before="0" w:after="0" w:line="360" w:lineRule="auto"/>
        <w:jc w:val="center"/>
        <w:rPr>
          <w:rFonts w:ascii="华文楷体" w:hAnsi="华文楷体" w:eastAsia="华文楷体" w:cs="方正仿宋_GBK"/>
          <w:sz w:val="24"/>
          <w:szCs w:val="24"/>
        </w:rPr>
      </w:pPr>
    </w:p>
    <w:p>
      <w:pPr>
        <w:pStyle w:val="5"/>
        <w:spacing w:before="0" w:after="0" w:line="360" w:lineRule="auto"/>
        <w:jc w:val="center"/>
        <w:rPr>
          <w:rFonts w:ascii="华文楷体" w:hAnsi="华文楷体" w:eastAsia="华文楷体" w:cs="仿宋_GB2312"/>
          <w:szCs w:val="32"/>
        </w:rPr>
      </w:pPr>
      <w:r>
        <w:rPr>
          <w:rFonts w:hint="eastAsia" w:ascii="华文楷体" w:hAnsi="华文楷体" w:eastAsia="华文楷体" w:cs="黑体"/>
          <w:szCs w:val="32"/>
        </w:rPr>
        <w:t>明细报价表</w:t>
      </w:r>
    </w:p>
    <w:p>
      <w:pPr>
        <w:pStyle w:val="5"/>
        <w:spacing w:before="0" w:after="0" w:line="360" w:lineRule="auto"/>
        <w:jc w:val="left"/>
        <w:rPr>
          <w:rFonts w:ascii="华文楷体" w:hAnsi="华文楷体" w:eastAsia="华文楷体" w:cs="黑体"/>
          <w:sz w:val="24"/>
          <w:szCs w:val="24"/>
        </w:rPr>
      </w:pPr>
      <w:r>
        <w:rPr>
          <w:rFonts w:hint="eastAsia" w:ascii="华文楷体" w:hAnsi="华文楷体" w:eastAsia="华文楷体" w:cs="黑体"/>
          <w:sz w:val="24"/>
          <w:szCs w:val="24"/>
        </w:rPr>
        <w:t>项目名称：</w:t>
      </w:r>
    </w:p>
    <w:tbl>
      <w:tblPr>
        <w:tblStyle w:val="5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77"/>
        <w:gridCol w:w="992"/>
        <w:gridCol w:w="1134"/>
        <w:gridCol w:w="184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widowControl/>
              <w:jc w:val="center"/>
              <w:rPr>
                <w:rFonts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  <w:t>下浮比例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华文楷体" w:hAnsi="华文楷体" w:eastAsia="华文楷体" w:cs="方正仿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华文楷体" w:hAnsi="华文楷体" w:eastAsia="华文楷体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华文楷体" w:hAnsi="华文楷体" w:eastAsia="华文楷体" w:cs="方正仿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华文楷体" w:hAnsi="华文楷体" w:eastAsia="华文楷体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华文楷体" w:hAnsi="华文楷体" w:eastAsia="华文楷体" w:cs="方正仿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华文楷体" w:hAnsi="华文楷体" w:eastAsia="华文楷体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华文楷体" w:hAnsi="华文楷体" w:eastAsia="华文楷体" w:cs="方正仿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华文楷体" w:hAnsi="华文楷体" w:eastAsia="华文楷体" w:cs="方正仿宋_GBK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华文楷体" w:hAnsi="华文楷体" w:eastAsia="华文楷体" w:cs="方正仿宋_GBK"/>
          <w:sz w:val="24"/>
          <w:szCs w:val="24"/>
        </w:rPr>
      </w:pPr>
    </w:p>
    <w:p>
      <w:pPr>
        <w:snapToGrid w:val="0"/>
        <w:spacing w:line="360" w:lineRule="auto"/>
        <w:ind w:firstLine="640" w:firstLineChars="200"/>
        <w:rPr>
          <w:rFonts w:ascii="华文楷体" w:hAnsi="华文楷体" w:eastAsia="华文楷体" w:cs="方正仿宋_GBK"/>
          <w:sz w:val="32"/>
          <w:szCs w:val="32"/>
        </w:rPr>
      </w:pPr>
      <w:r>
        <w:rPr>
          <w:rFonts w:hint="eastAsia" w:ascii="华文楷体" w:hAnsi="华文楷体" w:eastAsia="华文楷体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华文楷体" w:hAnsi="华文楷体" w:eastAsia="华文楷体" w:cs="方正仿宋_GBK"/>
          <w:sz w:val="32"/>
          <w:szCs w:val="32"/>
        </w:rPr>
      </w:pPr>
      <w:r>
        <w:rPr>
          <w:rFonts w:hint="eastAsia" w:ascii="华文楷体" w:hAnsi="华文楷体" w:eastAsia="华文楷体" w:cs="方正仿宋_GBK"/>
          <w:sz w:val="32"/>
          <w:szCs w:val="32"/>
        </w:rPr>
        <w:t>1</w:t>
      </w:r>
      <w:r>
        <w:rPr>
          <w:rFonts w:ascii="华文楷体" w:hAnsi="华文楷体" w:eastAsia="华文楷体" w:cs="方正仿宋_GBK"/>
          <w:sz w:val="32"/>
          <w:szCs w:val="32"/>
        </w:rPr>
        <w:t>.</w:t>
      </w:r>
      <w:r>
        <w:rPr>
          <w:rFonts w:hint="eastAsia" w:ascii="华文楷体" w:hAnsi="华文楷体" w:eastAsia="华文楷体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华文楷体" w:hAnsi="华文楷体" w:eastAsia="华文楷体" w:cs="方正仿宋_GBK"/>
          <w:sz w:val="32"/>
          <w:szCs w:val="32"/>
        </w:rPr>
      </w:pPr>
      <w:r>
        <w:rPr>
          <w:rFonts w:hint="eastAsia" w:ascii="华文楷体" w:hAnsi="华文楷体" w:eastAsia="华文楷体" w:cs="方正仿宋_GBK"/>
          <w:sz w:val="32"/>
          <w:szCs w:val="32"/>
        </w:rPr>
        <w:t>2</w:t>
      </w:r>
      <w:r>
        <w:rPr>
          <w:rFonts w:ascii="华文楷体" w:hAnsi="华文楷体" w:eastAsia="华文楷体" w:cs="方正仿宋_GBK"/>
          <w:sz w:val="32"/>
          <w:szCs w:val="32"/>
        </w:rPr>
        <w:t>.</w:t>
      </w:r>
      <w:r>
        <w:rPr>
          <w:rFonts w:hint="eastAsia" w:ascii="华文楷体" w:hAnsi="华文楷体" w:eastAsia="华文楷体" w:cs="方正仿宋_GBK"/>
          <w:sz w:val="32"/>
          <w:szCs w:val="32"/>
        </w:rPr>
        <w:t>该表内容不可扩展、不可变更。</w:t>
      </w:r>
    </w:p>
    <w:p>
      <w:pPr>
        <w:snapToGrid w:val="0"/>
        <w:spacing w:line="360" w:lineRule="auto"/>
        <w:rPr>
          <w:rFonts w:ascii="华文楷体" w:hAnsi="华文楷体" w:eastAsia="华文楷体" w:cs="方正仿宋_GBK"/>
          <w:sz w:val="32"/>
          <w:szCs w:val="32"/>
        </w:rPr>
      </w:pPr>
    </w:p>
    <w:p>
      <w:pPr>
        <w:pStyle w:val="252"/>
        <w:spacing w:line="360" w:lineRule="auto"/>
        <w:ind w:left="1600" w:hanging="480"/>
        <w:rPr>
          <w:rFonts w:ascii="华文楷体" w:hAnsi="华文楷体" w:eastAsia="华文楷体" w:cs="方正仿宋_GBK"/>
          <w:sz w:val="32"/>
          <w:szCs w:val="32"/>
        </w:rPr>
      </w:pPr>
    </w:p>
    <w:p>
      <w:pPr>
        <w:spacing w:line="360" w:lineRule="auto"/>
        <w:jc w:val="righ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华文楷体" w:hAnsi="华文楷体" w:eastAsia="华文楷体" w:cs="方正仿宋_GBK"/>
          <w:sz w:val="32"/>
          <w:szCs w:val="32"/>
        </w:rPr>
      </w:pPr>
      <w:r>
        <w:rPr>
          <w:rFonts w:hint="eastAsia" w:ascii="华文楷体" w:hAnsi="华文楷体" w:eastAsia="华文楷体" w:cs="方正仿宋_GBK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华文楷体" w:hAnsi="华文楷体" w:eastAsia="华文楷体" w:cs="方正仿宋_GBK"/>
          <w:sz w:val="32"/>
          <w:szCs w:val="32"/>
        </w:rPr>
        <w:t>年</w:t>
      </w:r>
      <w:r>
        <w:rPr>
          <w:rFonts w:hint="eastAsia" w:ascii="华文楷体" w:hAnsi="华文楷体" w:eastAsia="华文楷体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方正仿宋_GBK"/>
          <w:sz w:val="32"/>
          <w:szCs w:val="32"/>
        </w:rPr>
        <w:t>月</w:t>
      </w:r>
      <w:r>
        <w:rPr>
          <w:rFonts w:hint="eastAsia" w:ascii="华文楷体" w:hAnsi="华文楷体" w:eastAsia="华文楷体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方正仿宋_GBK"/>
          <w:sz w:val="32"/>
          <w:szCs w:val="32"/>
        </w:rPr>
        <w:t>日</w:t>
      </w:r>
    </w:p>
    <w:p>
      <w:pPr>
        <w:tabs>
          <w:tab w:val="left" w:pos="6300"/>
        </w:tabs>
        <w:snapToGrid w:val="0"/>
        <w:spacing w:line="500" w:lineRule="exact"/>
        <w:ind w:firstLine="210" w:firstLineChars="100"/>
        <w:rPr>
          <w:rFonts w:ascii="宋体" w:hAnsi="宋体" w:cs="宋体"/>
          <w:szCs w:val="24"/>
        </w:rPr>
      </w:pPr>
      <w:r>
        <w:rPr>
          <w:rFonts w:ascii="华文楷体" w:hAnsi="华文楷体" w:eastAsia="华文楷体"/>
        </w:rPr>
        <w:br w:type="page"/>
      </w:r>
      <w:r>
        <w:rPr>
          <w:rFonts w:hint="eastAsia" w:ascii="宋体" w:hAnsi="宋体" w:cs="宋体"/>
          <w:szCs w:val="24"/>
        </w:rPr>
        <w:t>（三）技术条款差异表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项目名称：</w:t>
      </w:r>
    </w:p>
    <w:tbl>
      <w:tblPr>
        <w:tblStyle w:val="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428"/>
        <w:gridCol w:w="252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项目技术需求</w:t>
            </w: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响应情况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供应商：                                  法定代表人授权代表：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（供应商公章）                               （签字或盖章）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年     月     日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1.本表必须按照“第三篇  询价项目技术需求”中所列内容及要求，逐条进行比较和响应，根据响应情况在“差异说明”项填写正偏离（指供应商响应情况优于询价通知书要求）或负偏离（指供应商响应情况不满足询价通知书要求）及原因，完全符合的填写“无差异”。 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2.供应商应按询价通知书的要求（如有）提供相关技术支撑材料并附在本表后面。（格式自定）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3.本表可扩展，并逐页签字或盖章，否则视为无效响应。</w:t>
      </w:r>
    </w:p>
    <w:p>
      <w:pPr>
        <w:pStyle w:val="23"/>
        <w:rPr>
          <w:rFonts w:ascii="宋体" w:hAnsi="宋体" w:eastAsia="宋体" w:cs="宋体"/>
        </w:rPr>
      </w:pPr>
    </w:p>
    <w:p>
      <w:pPr>
        <w:pStyle w:val="5"/>
        <w:spacing w:line="360" w:lineRule="auto"/>
        <w:rPr>
          <w:rFonts w:ascii="华文楷体" w:hAnsi="华文楷体" w:eastAsia="华文楷体" w:cs="Arial"/>
        </w:rPr>
      </w:pP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hint="eastAsia" w:ascii="华文楷体" w:hAnsi="华文楷体" w:eastAsia="华文楷体" w:cs="黑体"/>
          <w:b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华文楷体" w:hAnsi="华文楷体" w:eastAsia="华文楷体" w:cs="宋体"/>
          <w:b/>
          <w:bCs/>
          <w:sz w:val="24"/>
          <w:szCs w:val="24"/>
        </w:rPr>
      </w:pPr>
      <w:r>
        <w:rPr>
          <w:rFonts w:hint="eastAsia" w:ascii="华文楷体" w:hAnsi="华文楷体" w:eastAsia="华文楷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华文楷体" w:hAnsi="华文楷体" w:eastAsia="华文楷体" w:cs="仿宋_GB2312"/>
          <w:b/>
          <w:bCs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华文楷体" w:hAnsi="华文楷体" w:eastAsia="华文楷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华文楷体" w:hAnsi="华文楷体" w:eastAsia="华文楷体" w:cs="黑体"/>
          <w:b/>
          <w:bCs/>
          <w:sz w:val="32"/>
          <w:szCs w:val="32"/>
        </w:rPr>
      </w:pPr>
      <w:r>
        <w:rPr>
          <w:rFonts w:hint="eastAsia" w:ascii="华文楷体" w:hAnsi="华文楷体" w:eastAsia="华文楷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华文楷体" w:hAnsi="华文楷体" w:eastAsia="华文楷体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致（采购单位名称）：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（法定代表人名称及身份证代码）是</w:t>
      </w:r>
      <w:r>
        <w:rPr>
          <w:rFonts w:hint="eastAsia" w:ascii="华文楷体" w:hAnsi="华文楷体" w:eastAsia="华文楷体" w:cs="仿宋_GB2312"/>
          <w:sz w:val="32"/>
          <w:szCs w:val="32"/>
          <w:u w:val="single"/>
        </w:rPr>
        <w:t>（供应商名称）</w:t>
      </w:r>
      <w:r>
        <w:rPr>
          <w:rFonts w:hint="eastAsia" w:ascii="华文楷体" w:hAnsi="华文楷体" w:eastAsia="华文楷体" w:cs="仿宋_GB2312"/>
          <w:sz w:val="32"/>
          <w:szCs w:val="32"/>
        </w:rPr>
        <w:t>的法定代表人，电话</w:t>
      </w:r>
      <w:r>
        <w:rPr>
          <w:rFonts w:ascii="华文楷体" w:hAnsi="华文楷体" w:eastAsia="华文楷体" w:cs="仿宋_GB2312"/>
          <w:sz w:val="32"/>
          <w:szCs w:val="32"/>
        </w:rPr>
        <w:t>，</w:t>
      </w:r>
      <w:r>
        <w:rPr>
          <w:rFonts w:hint="eastAsia" w:ascii="华文楷体" w:hAnsi="华文楷体" w:eastAsia="华文楷体" w:cs="仿宋_GB2312"/>
          <w:sz w:val="32"/>
          <w:szCs w:val="32"/>
        </w:rPr>
        <w:t>代表我单位全权办理上述项目的报价、签约等具体工作，并签署全部有关文件、协议及合同。签字负全部责任。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华文楷体" w:hAnsi="华文楷体" w:eastAsia="华文楷体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年   月   日</w:t>
      </w:r>
    </w:p>
    <w:p>
      <w:pPr>
        <w:pStyle w:val="2"/>
        <w:spacing w:line="360" w:lineRule="auto"/>
        <w:rPr>
          <w:rFonts w:ascii="华文楷体" w:hAnsi="华文楷体" w:eastAsia="华文楷体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 w:cs="宋体"/>
          <w:sz w:val="24"/>
          <w:szCs w:val="24"/>
        </w:rPr>
      </w:pPr>
      <w:r>
        <w:rPr>
          <w:rFonts w:ascii="华文楷体" w:hAnsi="华文楷体" w:eastAsia="华文楷体" w:cs="宋体"/>
          <w:sz w:val="24"/>
          <w:szCs w:val="24"/>
        </w:rPr>
        <w:br w:type="page"/>
      </w:r>
    </w:p>
    <w:p>
      <w:pPr>
        <w:pStyle w:val="2"/>
        <w:rPr>
          <w:rFonts w:ascii="华文楷体" w:hAnsi="华文楷体" w:eastAsia="华文楷体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华文楷体" w:hAnsi="华文楷体" w:eastAsia="华文楷体" w:cs="黑体"/>
          <w:b/>
          <w:bCs/>
          <w:sz w:val="32"/>
          <w:szCs w:val="32"/>
        </w:rPr>
      </w:pPr>
      <w:r>
        <w:rPr>
          <w:rFonts w:hint="eastAsia" w:ascii="华文楷体" w:hAnsi="华文楷体" w:eastAsia="华文楷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华文楷体" w:hAnsi="华文楷体" w:eastAsia="华文楷体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致（采购单位名称）：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（法定代表人名称）是</w:t>
      </w:r>
      <w:r>
        <w:rPr>
          <w:rFonts w:hint="eastAsia" w:ascii="华文楷体" w:hAnsi="华文楷体" w:eastAsia="华文楷体" w:cs="仿宋_GB2312"/>
          <w:sz w:val="32"/>
          <w:szCs w:val="32"/>
          <w:u w:val="single"/>
        </w:rPr>
        <w:t>（供应商名称）</w:t>
      </w:r>
      <w:r>
        <w:rPr>
          <w:rFonts w:hint="eastAsia" w:ascii="华文楷体" w:hAnsi="华文楷体" w:eastAsia="华文楷体" w:cs="仿宋_GB2312"/>
          <w:sz w:val="32"/>
          <w:szCs w:val="32"/>
        </w:rPr>
        <w:t>的法定代表人，特授权（被授权人姓名及身份证代码）电话</w:t>
      </w:r>
      <w:r>
        <w:rPr>
          <w:rFonts w:ascii="华文楷体" w:hAnsi="华文楷体" w:eastAsia="华文楷体" w:cs="仿宋_GB2312"/>
          <w:sz w:val="32"/>
          <w:szCs w:val="32"/>
        </w:rPr>
        <w:t>，</w:t>
      </w:r>
      <w:r>
        <w:rPr>
          <w:rFonts w:hint="eastAsia" w:ascii="华文楷体" w:hAnsi="华文楷体" w:eastAsia="华文楷体" w:cs="仿宋_GB2312"/>
          <w:sz w:val="32"/>
          <w:szCs w:val="32"/>
        </w:rPr>
        <w:t>代表我单位全权办理上述项目的报价、签约等具体工作，并签署全部有关文件、协议及合同。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华文楷体" w:hAnsi="华文楷体" w:eastAsia="华文楷体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（签字或盖章）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华文楷体" w:hAnsi="华文楷体" w:eastAsia="华文楷体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华文楷体" w:hAnsi="华文楷体" w:eastAsia="华文楷体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  <w:lang w:val="en-US" w:eastAsia="zh-CN"/>
        </w:rPr>
        <w:t xml:space="preserve">                              </w:t>
      </w:r>
      <w:bookmarkStart w:id="38" w:name="_GoBack"/>
      <w:bookmarkEnd w:id="38"/>
      <w:r>
        <w:rPr>
          <w:rFonts w:hint="eastAsia" w:ascii="华文楷体" w:hAnsi="华文楷体" w:eastAsia="华文楷体" w:cs="仿宋_GB2312"/>
          <w:sz w:val="32"/>
          <w:szCs w:val="32"/>
        </w:rPr>
        <w:t>年   月   日</w:t>
      </w:r>
    </w:p>
    <w:p>
      <w:pPr>
        <w:pStyle w:val="5"/>
        <w:spacing w:line="360" w:lineRule="auto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华文楷体" w:hAnsi="华文楷体" w:eastAsia="华文楷体" w:cs="黑体"/>
          <w:b/>
          <w:sz w:val="32"/>
          <w:szCs w:val="32"/>
        </w:rPr>
      </w:pPr>
      <w:r>
        <w:rPr>
          <w:rFonts w:hint="eastAsia" w:ascii="华文楷体" w:hAnsi="华文楷体" w:eastAsia="华文楷体" w:cs="黑体"/>
          <w:b/>
          <w:sz w:val="32"/>
          <w:szCs w:val="32"/>
        </w:rPr>
        <w:t>三</w:t>
      </w:r>
      <w:r>
        <w:rPr>
          <w:rFonts w:ascii="华文楷体" w:hAnsi="华文楷体" w:eastAsia="华文楷体" w:cs="黑体"/>
          <w:b/>
          <w:sz w:val="32"/>
          <w:szCs w:val="32"/>
        </w:rPr>
        <w:t>、</w:t>
      </w:r>
      <w:r>
        <w:rPr>
          <w:rFonts w:hint="eastAsia" w:ascii="华文楷体" w:hAnsi="华文楷体" w:eastAsia="华文楷体" w:cs="黑体"/>
          <w:b/>
          <w:sz w:val="32"/>
          <w:szCs w:val="32"/>
        </w:rPr>
        <w:t>基本资格条件承诺函</w:t>
      </w:r>
    </w:p>
    <w:p>
      <w:pPr>
        <w:pStyle w:val="2"/>
        <w:rPr>
          <w:rFonts w:ascii="华文楷体" w:hAnsi="华文楷体" w:eastAsia="华文楷体"/>
        </w:rPr>
      </w:pPr>
    </w:p>
    <w:p>
      <w:pPr>
        <w:snapToGrid w:val="0"/>
        <w:spacing w:line="360" w:lineRule="auto"/>
        <w:ind w:firstLine="570"/>
        <w:jc w:val="center"/>
        <w:rPr>
          <w:rFonts w:ascii="华文楷体" w:hAnsi="华文楷体" w:eastAsia="华文楷体" w:cs="黑体"/>
          <w:b/>
          <w:sz w:val="32"/>
          <w:szCs w:val="32"/>
        </w:rPr>
      </w:pPr>
      <w:r>
        <w:rPr>
          <w:rFonts w:hint="eastAsia" w:ascii="华文楷体" w:hAnsi="华文楷体" w:eastAsia="华文楷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华文楷体" w:hAnsi="华文楷体" w:eastAsia="华文楷体" w:cs="方正仿宋_GBK"/>
          <w:b/>
          <w:sz w:val="24"/>
          <w:szCs w:val="24"/>
        </w:rPr>
      </w:pPr>
    </w:p>
    <w:p>
      <w:pPr>
        <w:snapToGrid w:val="0"/>
        <w:spacing w:line="360" w:lineRule="auto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致（采购单位名称）：</w:t>
      </w:r>
    </w:p>
    <w:p>
      <w:pPr>
        <w:snapToGrid w:val="0"/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特此承诺。</w:t>
      </w:r>
    </w:p>
    <w:p>
      <w:pPr>
        <w:pStyle w:val="2"/>
        <w:rPr>
          <w:rFonts w:ascii="华文楷体" w:hAnsi="华文楷体" w:eastAsia="华文楷体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 xml:space="preserve">                               年   月   日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rPr>
          <w:rFonts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黑体"/>
          <w:b/>
          <w:sz w:val="32"/>
          <w:szCs w:val="32"/>
        </w:rPr>
        <w:t>四、特定资格条件证书或证明文件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华文楷体" w:hAnsi="华文楷体" w:eastAsia="华文楷体" w:cs="宋体"/>
          <w:sz w:val="24"/>
          <w:szCs w:val="24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pStyle w:val="2"/>
        <w:rPr>
          <w:rFonts w:ascii="华文楷体" w:hAnsi="华文楷体" w:eastAsia="华文楷体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920" w:firstLineChars="1850"/>
        <w:rPr>
          <w:rFonts w:ascii="华文楷体" w:hAnsi="华文楷体" w:eastAsia="华文楷体" w:cs="宋体"/>
          <w:sz w:val="24"/>
          <w:szCs w:val="24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华文楷体" w:hAnsi="华文楷体" w:eastAsia="华文楷体" w:cs="仿宋_GB2312"/>
          <w:sz w:val="32"/>
          <w:szCs w:val="32"/>
        </w:rPr>
        <w:t>（结束）</w:t>
      </w:r>
    </w:p>
    <w:p>
      <w:pPr>
        <w:tabs>
          <w:tab w:val="left" w:pos="6300"/>
        </w:tabs>
        <w:snapToGrid w:val="0"/>
        <w:spacing w:line="360" w:lineRule="auto"/>
        <w:ind w:right="480"/>
        <w:rPr>
          <w:rFonts w:ascii="宋体" w:hAnsi="宋体" w:cs="宋体"/>
          <w:sz w:val="24"/>
          <w:szCs w:val="24"/>
        </w:rPr>
      </w:pPr>
    </w:p>
    <w:sectPr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pict>
        <v:shape id="文本框 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pict>
        <v:shape id="文本框 4" o:spid="_x0000_s1027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B5F28"/>
    <w:multiLevelType w:val="singleLevel"/>
    <w:tmpl w:val="F87B5F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46DDFAB6"/>
    <w:multiLevelType w:val="singleLevel"/>
    <w:tmpl w:val="46DDFA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hY2QwNTNhODdhNWVlNGUzZGQwOTI5ZjUxZTFiMjQ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B0039"/>
    <w:rsid w:val="001B7EF0"/>
    <w:rsid w:val="001E44D9"/>
    <w:rsid w:val="001E73E2"/>
    <w:rsid w:val="001F74AE"/>
    <w:rsid w:val="002036CE"/>
    <w:rsid w:val="002119E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A2AF4"/>
    <w:rsid w:val="002B0676"/>
    <w:rsid w:val="002C7EDF"/>
    <w:rsid w:val="002F2847"/>
    <w:rsid w:val="002F5C86"/>
    <w:rsid w:val="002F62C4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32A49"/>
    <w:rsid w:val="00442270"/>
    <w:rsid w:val="0044680D"/>
    <w:rsid w:val="0045418C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929AA"/>
    <w:rsid w:val="005937A7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54B6E"/>
    <w:rsid w:val="00664DC0"/>
    <w:rsid w:val="00667DF3"/>
    <w:rsid w:val="00675CDE"/>
    <w:rsid w:val="006802F3"/>
    <w:rsid w:val="00684D9B"/>
    <w:rsid w:val="006A2801"/>
    <w:rsid w:val="006A3401"/>
    <w:rsid w:val="006B3A00"/>
    <w:rsid w:val="006C353F"/>
    <w:rsid w:val="006C3DE2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A58F7"/>
    <w:rsid w:val="007B6393"/>
    <w:rsid w:val="007D57AF"/>
    <w:rsid w:val="007E13BD"/>
    <w:rsid w:val="007E1D36"/>
    <w:rsid w:val="007F2A53"/>
    <w:rsid w:val="00833A5B"/>
    <w:rsid w:val="00854CC0"/>
    <w:rsid w:val="00854ED3"/>
    <w:rsid w:val="00862785"/>
    <w:rsid w:val="00872901"/>
    <w:rsid w:val="008825DA"/>
    <w:rsid w:val="008937A6"/>
    <w:rsid w:val="00894E75"/>
    <w:rsid w:val="008E27D8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1587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C65E0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E64CF"/>
    <w:rsid w:val="00AF3E34"/>
    <w:rsid w:val="00AF70BC"/>
    <w:rsid w:val="00B000A7"/>
    <w:rsid w:val="00B01F29"/>
    <w:rsid w:val="00B3337A"/>
    <w:rsid w:val="00B43355"/>
    <w:rsid w:val="00B46C68"/>
    <w:rsid w:val="00B47D95"/>
    <w:rsid w:val="00B47F90"/>
    <w:rsid w:val="00B60CC0"/>
    <w:rsid w:val="00B60F1F"/>
    <w:rsid w:val="00B730A8"/>
    <w:rsid w:val="00B85F50"/>
    <w:rsid w:val="00B935B0"/>
    <w:rsid w:val="00B93A95"/>
    <w:rsid w:val="00BA1F2C"/>
    <w:rsid w:val="00BB3E0F"/>
    <w:rsid w:val="00BB3F7A"/>
    <w:rsid w:val="00BC4CA6"/>
    <w:rsid w:val="00BD1E3D"/>
    <w:rsid w:val="00BD5A39"/>
    <w:rsid w:val="00BF23A8"/>
    <w:rsid w:val="00BF771D"/>
    <w:rsid w:val="00C0607C"/>
    <w:rsid w:val="00C125AB"/>
    <w:rsid w:val="00C14479"/>
    <w:rsid w:val="00C34570"/>
    <w:rsid w:val="00C83661"/>
    <w:rsid w:val="00C909A2"/>
    <w:rsid w:val="00CB395B"/>
    <w:rsid w:val="00CC15A7"/>
    <w:rsid w:val="00CC4F85"/>
    <w:rsid w:val="00CD2AA1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3BBD"/>
    <w:rsid w:val="00E54E2D"/>
    <w:rsid w:val="00E670E8"/>
    <w:rsid w:val="00E76D46"/>
    <w:rsid w:val="00E863F1"/>
    <w:rsid w:val="00E90390"/>
    <w:rsid w:val="00EB6C11"/>
    <w:rsid w:val="00ED535E"/>
    <w:rsid w:val="00ED6923"/>
    <w:rsid w:val="00F10101"/>
    <w:rsid w:val="00F62DF4"/>
    <w:rsid w:val="00F91500"/>
    <w:rsid w:val="00FC7767"/>
    <w:rsid w:val="00FD14FB"/>
    <w:rsid w:val="00FD2836"/>
    <w:rsid w:val="00FF7DDB"/>
    <w:rsid w:val="044E2BE0"/>
    <w:rsid w:val="07610150"/>
    <w:rsid w:val="08ED3546"/>
    <w:rsid w:val="0BAA1613"/>
    <w:rsid w:val="0BDD4B0E"/>
    <w:rsid w:val="0DE16873"/>
    <w:rsid w:val="0EFE3F6B"/>
    <w:rsid w:val="101E0686"/>
    <w:rsid w:val="11A26319"/>
    <w:rsid w:val="12721EF0"/>
    <w:rsid w:val="1C0E01AF"/>
    <w:rsid w:val="200308CB"/>
    <w:rsid w:val="271E423C"/>
    <w:rsid w:val="278247CB"/>
    <w:rsid w:val="27BD7398"/>
    <w:rsid w:val="2A9A00C1"/>
    <w:rsid w:val="31D874D8"/>
    <w:rsid w:val="32116E77"/>
    <w:rsid w:val="32604F7E"/>
    <w:rsid w:val="34CC3626"/>
    <w:rsid w:val="35F04FF6"/>
    <w:rsid w:val="37840AEA"/>
    <w:rsid w:val="38FE5C7B"/>
    <w:rsid w:val="39D961DF"/>
    <w:rsid w:val="3DA768E2"/>
    <w:rsid w:val="3EDB7D99"/>
    <w:rsid w:val="3EFB6EE5"/>
    <w:rsid w:val="3FCD46EF"/>
    <w:rsid w:val="411B1F4A"/>
    <w:rsid w:val="41210759"/>
    <w:rsid w:val="43260821"/>
    <w:rsid w:val="436F39FE"/>
    <w:rsid w:val="43F15AEC"/>
    <w:rsid w:val="45672430"/>
    <w:rsid w:val="45FB04BF"/>
    <w:rsid w:val="489B5295"/>
    <w:rsid w:val="4A0B01F8"/>
    <w:rsid w:val="4BC9209C"/>
    <w:rsid w:val="4E99569F"/>
    <w:rsid w:val="51340035"/>
    <w:rsid w:val="5A13112F"/>
    <w:rsid w:val="5A9515D1"/>
    <w:rsid w:val="5B8C0E98"/>
    <w:rsid w:val="5BFDB513"/>
    <w:rsid w:val="639635F7"/>
    <w:rsid w:val="65F91B55"/>
    <w:rsid w:val="66522FDF"/>
    <w:rsid w:val="67B15328"/>
    <w:rsid w:val="6C3E4A71"/>
    <w:rsid w:val="6F1E6CA3"/>
    <w:rsid w:val="6F743FC6"/>
    <w:rsid w:val="71287CA7"/>
    <w:rsid w:val="7183443D"/>
    <w:rsid w:val="751E519F"/>
    <w:rsid w:val="763C4EDA"/>
    <w:rsid w:val="76DB3120"/>
    <w:rsid w:val="78B13B95"/>
    <w:rsid w:val="7927265A"/>
    <w:rsid w:val="7B214D90"/>
    <w:rsid w:val="7DAB6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Char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Char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Char"/>
    <w:basedOn w:val="75"/>
    <w:link w:val="55"/>
    <w:qFormat/>
    <w:uiPriority w:val="0"/>
    <w:rPr>
      <w:sz w:val="24"/>
    </w:rPr>
  </w:style>
  <w:style w:type="character" w:customStyle="1" w:styleId="75">
    <w:name w:val="批注文字 Char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首行缩进 2 Char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Char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Char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Char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Char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Char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18536-BE93-4351-ACF4-3C8458747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13</Pages>
  <Words>3293</Words>
  <Characters>3518</Characters>
  <Lines>29</Lines>
  <Paragraphs>8</Paragraphs>
  <TotalTime>4</TotalTime>
  <ScaleCrop>false</ScaleCrop>
  <LinksUpToDate>false</LinksUpToDate>
  <CharactersWithSpaces>3886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2023-04-06T04:46:00Z</dcterms:created>
  <dc:creator>罗成</dc:creator>
  <cp:lastModifiedBy>Administrator</cp:lastModifiedBy>
  <cp:lastPrinted>2018-08-06T16:28:00Z</cp:lastPrinted>
  <dcterms:modified xsi:type="dcterms:W3CDTF">2023-04-07T00:58:17Z</dcterms:modified>
  <dc:title>竞争性谈判文件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CDC322A2FB494528945B7E9A86E577D1_12</vt:lpwstr>
  </property>
</Properties>
</file>